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w:t>
      </w:r>
      <w:r>
        <w:rPr>
          <w:rFonts w:hint="eastAsia" w:ascii="Arial" w:hAnsi="Arial" w:cs="Arial"/>
          <w:b/>
          <w:sz w:val="24"/>
          <w:szCs w:val="24"/>
        </w:rPr>
        <w:t xml:space="preserve">                              R4-230xxxxx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Toulouse</w:t>
      </w:r>
      <w:r>
        <w:rPr>
          <w:rFonts w:ascii="Arial" w:hAnsi="Arial" w:cs="Arial"/>
          <w:b/>
          <w:sz w:val="24"/>
          <w:szCs w:val="24"/>
        </w:rPr>
        <w:t xml:space="preserve"> , </w:t>
      </w:r>
      <w:r>
        <w:rPr>
          <w:rFonts w:hint="eastAsia" w:ascii="Arial" w:hAnsi="Arial" w:cs="Arial"/>
          <w:b/>
          <w:sz w:val="24"/>
          <w:szCs w:val="24"/>
          <w:lang w:val="en-US" w:eastAsia="zh-CN"/>
        </w:rPr>
        <w:t>France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Aug</w:t>
      </w:r>
      <w:r>
        <w:rPr>
          <w:rFonts w:ascii="Arial" w:hAnsi="Arial" w:cs="Arial"/>
          <w:b/>
          <w:sz w:val="24"/>
          <w:szCs w:val="24"/>
        </w:rPr>
        <w:t xml:space="preserve"> </w:t>
      </w:r>
      <w:r>
        <w:rPr>
          <w:rFonts w:hint="eastAsia" w:ascii="Arial" w:hAnsi="Arial" w:cs="Arial"/>
          <w:b/>
          <w:sz w:val="24"/>
          <w:szCs w:val="24"/>
        </w:rPr>
        <w:t>2</w:t>
      </w:r>
      <w:r>
        <w:rPr>
          <w:rFonts w:hint="eastAsia" w:ascii="Arial" w:hAnsi="Arial" w:cs="Arial"/>
          <w:b/>
          <w:sz w:val="24"/>
          <w:szCs w:val="24"/>
          <w:lang w:val="en-US" w:eastAsia="zh-CN"/>
        </w:rPr>
        <w:t>1</w:t>
      </w:r>
      <w:r>
        <w:rPr>
          <w:rFonts w:ascii="Arial" w:hAnsi="Arial" w:cs="Arial"/>
          <w:b/>
          <w:sz w:val="24"/>
          <w:szCs w:val="24"/>
        </w:rPr>
        <w:t xml:space="preserve"> – </w:t>
      </w:r>
      <w:r>
        <w:rPr>
          <w:rFonts w:hint="eastAsia" w:ascii="Arial" w:hAnsi="Arial" w:cs="Arial"/>
          <w:b/>
          <w:sz w:val="24"/>
          <w:szCs w:val="24"/>
          <w:lang w:val="en-US" w:eastAsia="zh-CN"/>
        </w:rPr>
        <w:t>Aug</w:t>
      </w:r>
      <w:r>
        <w:rPr>
          <w:rFonts w:ascii="Arial" w:hAnsi="Arial" w:cs="Arial"/>
          <w:b/>
          <w:sz w:val="24"/>
          <w:szCs w:val="24"/>
        </w:rPr>
        <w:t xml:space="preserve"> 2</w:t>
      </w:r>
      <w:r>
        <w:rPr>
          <w:rFonts w:hint="eastAsia" w:ascii="Arial" w:hAnsi="Arial" w:cs="Arial"/>
          <w:b/>
          <w:sz w:val="24"/>
          <w:szCs w:val="24"/>
          <w:lang w:val="en-US" w:eastAsia="zh-CN"/>
        </w:rPr>
        <w:t>5</w:t>
      </w:r>
      <w:r>
        <w:rPr>
          <w:rFonts w:hint="eastAsia" w:ascii="Arial" w:hAnsi="Arial" w:cs="Arial"/>
          <w:b/>
          <w:sz w:val="24"/>
          <w:szCs w:val="24"/>
        </w:rPr>
        <w:t>, 2023</w:t>
      </w:r>
    </w:p>
    <w:p>
      <w:pPr>
        <w:tabs>
          <w:tab w:val="left" w:pos="1985"/>
        </w:tabs>
        <w:spacing w:after="180"/>
        <w:ind w:left="1980" w:hanging="1980"/>
        <w:rPr>
          <w:rFonts w:hint="default" w:ascii="Arial" w:hAnsi="Arial" w:eastAsia="Batang"/>
          <w:b/>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8.26.2</w:t>
      </w:r>
      <w:bookmarkStart w:id="7" w:name="_GoBack"/>
      <w:bookmarkEnd w:id="7"/>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simulation assumption and calibration data for NTN in Ka band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szCs w:val="24"/>
          <w:highlight w:val="green"/>
          <w:lang w:val="en-US" w:eastAsia="zh-CN"/>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In last RAN4 meeting, we reached</w:t>
      </w:r>
      <w:bookmarkStart w:id="1" w:name="OLE_LINK35"/>
      <w:r>
        <w:rPr>
          <w:rFonts w:hint="eastAsia" w:cs="Times New Roman"/>
          <w:kern w:val="2"/>
          <w:sz w:val="21"/>
          <w:szCs w:val="22"/>
          <w:highlight w:val="none"/>
          <w:lang w:val="en-US" w:eastAsia="zh-CN" w:bidi="ar-SA"/>
        </w:rPr>
        <w:t xml:space="preserve"> good progress for Ka-band coexistence study, however there are still some open issues left for further discussions. </w:t>
      </w:r>
    </w:p>
    <w:bookmarkEnd w:id="1"/>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default"/>
          <w:lang w:val="en-US" w:eastAsia="zh-CN"/>
        </w:rPr>
      </w:pPr>
      <w:r>
        <w:rPr>
          <w:rFonts w:hint="eastAsia"/>
          <w:highlight w:val="none"/>
        </w:rPr>
        <w:t xml:space="preserve">Discussion </w:t>
      </w:r>
      <w:bookmarkStart w:id="2" w:name="OLE_LINK20"/>
      <w:bookmarkStart w:id="3" w:name="OLE_LINK10"/>
      <w:bookmarkStart w:id="4" w:name="OLE_LINK13"/>
      <w:bookmarkStart w:id="5" w:name="OLE_LINK14"/>
      <w:r>
        <w:rPr>
          <w:rFonts w:hint="eastAsia" w:eastAsia="Times New Roman"/>
          <w:highlight w:val="none"/>
          <w:lang w:val="en-US" w:eastAsia="zh-CN"/>
        </w:rPr>
        <w:t xml:space="preserve">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bookmarkStart w:id="6" w:name="OLE_LINK8"/>
      <w:r>
        <w:rPr>
          <w:rFonts w:hint="eastAsia" w:cs="Times New Roman"/>
          <w:kern w:val="2"/>
          <w:sz w:val="21"/>
          <w:szCs w:val="22"/>
          <w:highlight w:val="none"/>
          <w:lang w:val="en-US" w:eastAsia="zh-CN" w:bidi="ar-SA"/>
        </w:rPr>
        <w:t xml:space="preserve">In the previous RAN4 meeting, we reached the consensus for ACLR and ACS requirement for TN side, however based on the discussion for SBFD coexistence study, FR2 UE ACLR requirement 17dBc could be replaced by the OBW requirement (23dBc) since OBW requirement is more stringent than ACLR requirement. </w:t>
      </w:r>
    </w:p>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tbl>
      <w:tblPr>
        <w:tblStyle w:val="25"/>
        <w:tblW w:w="9631" w:type="dxa"/>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247"/>
        <w:gridCol w:w="1306"/>
        <w:gridCol w:w="1444"/>
        <w:gridCol w:w="1306"/>
        <w:gridCol w:w="1255"/>
        <w:gridCol w:w="1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1818" w:type="dxa"/>
            <w:vMerge w:val="restart"/>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Frequency band</w:t>
            </w:r>
          </w:p>
        </w:tc>
        <w:tc>
          <w:tcPr>
            <w:tcW w:w="2553" w:type="dxa"/>
            <w:gridSpan w:val="2"/>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BS</w:t>
            </w:r>
          </w:p>
        </w:tc>
        <w:tc>
          <w:tcPr>
            <w:tcW w:w="2750" w:type="dxa"/>
            <w:gridSpan w:val="2"/>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UE</w:t>
            </w:r>
          </w:p>
        </w:tc>
        <w:tc>
          <w:tcPr>
            <w:tcW w:w="2510" w:type="dxa"/>
            <w:gridSpan w:val="2"/>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lang w:val="en-US"/>
              </w:rPr>
            </w:pPr>
            <w:r>
              <w:rPr>
                <w:rFonts w:ascii="Times New Roman" w:hAnsi="Times New Roman" w:eastAsia="Yu Mincho"/>
                <w:lang w:val="en-US"/>
              </w:rPr>
              <w:t>ACIR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18" w:type="dxa"/>
            <w:vMerge w:val="continue"/>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p>
        </w:tc>
        <w:tc>
          <w:tcPr>
            <w:tcW w:w="1247"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ACLR</w:t>
            </w:r>
          </w:p>
        </w:tc>
        <w:tc>
          <w:tcPr>
            <w:tcW w:w="1306"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ACS</w:t>
            </w:r>
          </w:p>
        </w:tc>
        <w:tc>
          <w:tcPr>
            <w:tcW w:w="1444"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ACLR</w:t>
            </w:r>
          </w:p>
        </w:tc>
        <w:tc>
          <w:tcPr>
            <w:tcW w:w="1306"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ACS</w:t>
            </w:r>
          </w:p>
        </w:tc>
        <w:tc>
          <w:tcPr>
            <w:tcW w:w="1255"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lang w:val="en-US"/>
              </w:rPr>
            </w:pPr>
            <w:r>
              <w:rPr>
                <w:rFonts w:ascii="Times New Roman" w:hAnsi="Times New Roman" w:eastAsia="Yu Mincho"/>
                <w:lang w:val="en-US"/>
              </w:rPr>
              <w:t>BS ACLR</w:t>
            </w:r>
          </w:p>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lang w:val="en-US"/>
              </w:rPr>
              <w:t>UE ACS</w:t>
            </w:r>
          </w:p>
        </w:tc>
        <w:tc>
          <w:tcPr>
            <w:tcW w:w="1255"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lang w:val="en-US"/>
              </w:rPr>
            </w:pPr>
            <w:r>
              <w:rPr>
                <w:rFonts w:ascii="Times New Roman" w:hAnsi="Times New Roman" w:eastAsia="Yu Mincho"/>
                <w:lang w:val="en-US"/>
              </w:rPr>
              <w:t>UE ACLR</w:t>
            </w:r>
          </w:p>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lang w:val="en-US"/>
              </w:rPr>
              <w:t>BS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18" w:type="dxa"/>
          </w:tcPr>
          <w:p>
            <w:pPr>
              <w:pStyle w:val="37"/>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 xml:space="preserve">17 GHz </w:t>
            </w:r>
          </w:p>
        </w:tc>
        <w:tc>
          <w:tcPr>
            <w:tcW w:w="1247" w:type="dxa"/>
          </w:tcPr>
          <w:p>
            <w:pPr>
              <w:pStyle w:val="36"/>
              <w:overflowPunct w:val="0"/>
              <w:autoSpaceDE w:val="0"/>
              <w:autoSpaceDN w:val="0"/>
              <w:adjustRightInd w:val="0"/>
              <w:textAlignment w:val="baseline"/>
              <w:rPr>
                <w:rFonts w:ascii="Times New Roman" w:hAnsi="Times New Roman" w:eastAsiaTheme="minorEastAsia"/>
                <w:highlight w:val="yellow"/>
                <w:lang w:val="en-US"/>
              </w:rPr>
            </w:pPr>
            <w:r>
              <w:rPr>
                <w:rFonts w:ascii="Times New Roman" w:hAnsi="Times New Roman" w:eastAsiaTheme="minorEastAsia"/>
                <w:highlight w:val="yellow"/>
                <w:lang w:val="en-US"/>
              </w:rPr>
              <w:t>[30]</w:t>
            </w:r>
          </w:p>
        </w:tc>
        <w:tc>
          <w:tcPr>
            <w:tcW w:w="1306" w:type="dxa"/>
          </w:tcPr>
          <w:p>
            <w:pPr>
              <w:pStyle w:val="36"/>
              <w:overflowPunct w:val="0"/>
              <w:autoSpaceDE w:val="0"/>
              <w:autoSpaceDN w:val="0"/>
              <w:adjustRightInd w:val="0"/>
              <w:textAlignment w:val="baseline"/>
              <w:rPr>
                <w:rFonts w:ascii="Times New Roman" w:hAnsi="Times New Roman" w:eastAsia="Yu Mincho"/>
                <w:highlight w:val="yellow"/>
                <w:lang w:val="en-US"/>
              </w:rPr>
            </w:pPr>
            <w:r>
              <w:rPr>
                <w:rFonts w:ascii="Times New Roman" w:hAnsi="Times New Roman" w:eastAsia="Yu Mincho"/>
                <w:highlight w:val="yellow"/>
                <w:lang w:val="en-US"/>
              </w:rPr>
              <w:t>[26]</w:t>
            </w:r>
          </w:p>
        </w:tc>
        <w:tc>
          <w:tcPr>
            <w:tcW w:w="1444" w:type="dxa"/>
          </w:tcPr>
          <w:p>
            <w:pPr>
              <w:pStyle w:val="36"/>
              <w:overflowPunct w:val="0"/>
              <w:autoSpaceDE w:val="0"/>
              <w:autoSpaceDN w:val="0"/>
              <w:adjustRightInd w:val="0"/>
              <w:textAlignment w:val="baseline"/>
              <w:rPr>
                <w:rFonts w:ascii="Times New Roman" w:hAnsi="Times New Roman" w:eastAsia="Yu Mincho"/>
                <w:highlight w:val="yellow"/>
                <w:lang w:val="en-US"/>
              </w:rPr>
            </w:pPr>
            <w:r>
              <w:rPr>
                <w:rFonts w:ascii="Times New Roman" w:hAnsi="Times New Roman" w:eastAsia="Yu Mincho"/>
                <w:highlight w:val="yellow"/>
                <w:lang w:val="en-US"/>
              </w:rPr>
              <w:t>[19]</w:t>
            </w:r>
          </w:p>
        </w:tc>
        <w:tc>
          <w:tcPr>
            <w:tcW w:w="1306" w:type="dxa"/>
          </w:tcPr>
          <w:p>
            <w:pPr>
              <w:pStyle w:val="36"/>
              <w:overflowPunct w:val="0"/>
              <w:autoSpaceDE w:val="0"/>
              <w:autoSpaceDN w:val="0"/>
              <w:adjustRightInd w:val="0"/>
              <w:textAlignment w:val="baseline"/>
              <w:rPr>
                <w:rFonts w:ascii="Times New Roman" w:hAnsi="Times New Roman" w:eastAsia="Yu Mincho"/>
                <w:highlight w:val="yellow"/>
                <w:lang w:val="en-US"/>
              </w:rPr>
            </w:pPr>
            <w:r>
              <w:rPr>
                <w:rFonts w:ascii="Times New Roman" w:hAnsi="Times New Roman" w:eastAsia="Yu Mincho"/>
                <w:highlight w:val="yellow"/>
                <w:lang w:val="en-US"/>
              </w:rPr>
              <w:t>[25]</w:t>
            </w:r>
          </w:p>
        </w:tc>
        <w:tc>
          <w:tcPr>
            <w:tcW w:w="1255" w:type="dxa"/>
          </w:tcPr>
          <w:p>
            <w:pPr>
              <w:pStyle w:val="36"/>
              <w:overflowPunct w:val="0"/>
              <w:autoSpaceDE w:val="0"/>
              <w:autoSpaceDN w:val="0"/>
              <w:adjustRightInd w:val="0"/>
              <w:textAlignment w:val="baseline"/>
              <w:rPr>
                <w:rFonts w:ascii="Times New Roman" w:hAnsi="Times New Roman" w:eastAsia="Yu Mincho"/>
                <w:highlight w:val="yellow"/>
                <w:lang w:val="en-US"/>
              </w:rPr>
            </w:pPr>
            <w:r>
              <w:rPr>
                <w:rFonts w:ascii="Times New Roman" w:hAnsi="Times New Roman" w:eastAsia="Yu Mincho"/>
                <w:highlight w:val="yellow"/>
                <w:lang w:val="en-US"/>
              </w:rPr>
              <w:t>[23.8]</w:t>
            </w:r>
          </w:p>
        </w:tc>
        <w:tc>
          <w:tcPr>
            <w:tcW w:w="1255" w:type="dxa"/>
          </w:tcPr>
          <w:p>
            <w:pPr>
              <w:pStyle w:val="36"/>
              <w:overflowPunct w:val="0"/>
              <w:autoSpaceDE w:val="0"/>
              <w:autoSpaceDN w:val="0"/>
              <w:adjustRightInd w:val="0"/>
              <w:textAlignment w:val="baseline"/>
              <w:rPr>
                <w:rFonts w:ascii="Times New Roman" w:hAnsi="Times New Roman" w:eastAsia="Yu Mincho"/>
                <w:highlight w:val="yellow"/>
                <w:lang w:val="en-US"/>
              </w:rPr>
            </w:pPr>
            <w:r>
              <w:rPr>
                <w:rFonts w:ascii="Times New Roman" w:hAnsi="Times New Roman" w:eastAsia="Yu Mincho"/>
                <w:highlight w:val="yellow"/>
                <w:lang w:val="en-US"/>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18" w:type="dxa"/>
          </w:tcPr>
          <w:p>
            <w:pPr>
              <w:pStyle w:val="37"/>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 xml:space="preserve">27 GHz </w:t>
            </w:r>
          </w:p>
        </w:tc>
        <w:tc>
          <w:tcPr>
            <w:tcW w:w="1247" w:type="dxa"/>
          </w:tcPr>
          <w:p>
            <w:pPr>
              <w:pStyle w:val="36"/>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28</w:t>
            </w:r>
          </w:p>
        </w:tc>
        <w:tc>
          <w:tcPr>
            <w:tcW w:w="1306" w:type="dxa"/>
          </w:tcPr>
          <w:p>
            <w:pPr>
              <w:pStyle w:val="36"/>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24</w:t>
            </w:r>
          </w:p>
        </w:tc>
        <w:tc>
          <w:tcPr>
            <w:tcW w:w="1444" w:type="dxa"/>
          </w:tcPr>
          <w:p>
            <w:pPr>
              <w:pStyle w:val="36"/>
              <w:overflowPunct w:val="0"/>
              <w:autoSpaceDE w:val="0"/>
              <w:autoSpaceDN w:val="0"/>
              <w:adjustRightInd w:val="0"/>
              <w:textAlignment w:val="baseline"/>
              <w:rPr>
                <w:rFonts w:hint="default" w:ascii="Times New Roman" w:hAnsi="Times New Roman" w:eastAsia="宋体"/>
                <w:lang w:val="en-US" w:eastAsia="zh-CN"/>
              </w:rPr>
            </w:pPr>
            <w:r>
              <w:rPr>
                <w:rFonts w:hint="default" w:ascii="Times New Roman" w:hAnsi="Times New Roman" w:eastAsia="Yu Mincho"/>
                <w:lang w:val="en-US"/>
              </w:rPr>
              <w:t>17</w:t>
            </w:r>
          </w:p>
        </w:tc>
        <w:tc>
          <w:tcPr>
            <w:tcW w:w="1306" w:type="dxa"/>
          </w:tcPr>
          <w:p>
            <w:pPr>
              <w:pStyle w:val="36"/>
              <w:overflowPunct w:val="0"/>
              <w:autoSpaceDE w:val="0"/>
              <w:autoSpaceDN w:val="0"/>
              <w:adjustRightInd w:val="0"/>
              <w:textAlignment w:val="baseline"/>
              <w:rPr>
                <w:rFonts w:ascii="Times New Roman" w:hAnsi="Times New Roman" w:eastAsia="Yu Mincho"/>
              </w:rPr>
            </w:pPr>
            <w:r>
              <w:rPr>
                <w:rFonts w:ascii="Times New Roman" w:hAnsi="Times New Roman" w:eastAsia="Yu Mincho"/>
                <w:color w:val="0000FF"/>
                <w:rPrChange w:id="0" w:author="ZTE,Fei Xue" w:date="2023-08-11T16:10:54Z">
                  <w:rPr>
                    <w:rFonts w:ascii="Times New Roman" w:hAnsi="Times New Roman" w:eastAsia="Yu Mincho"/>
                  </w:rPr>
                </w:rPrChange>
              </w:rPr>
              <w:t>23</w:t>
            </w:r>
          </w:p>
        </w:tc>
        <w:tc>
          <w:tcPr>
            <w:tcW w:w="1255" w:type="dxa"/>
          </w:tcPr>
          <w:p>
            <w:pPr>
              <w:pStyle w:val="36"/>
              <w:overflowPunct w:val="0"/>
              <w:autoSpaceDE w:val="0"/>
              <w:autoSpaceDN w:val="0"/>
              <w:adjustRightInd w:val="0"/>
              <w:textAlignment w:val="baseline"/>
              <w:rPr>
                <w:rFonts w:ascii="Times New Roman" w:hAnsi="Times New Roman" w:eastAsia="Yu Mincho"/>
                <w:lang w:val="en-US"/>
              </w:rPr>
            </w:pPr>
            <w:r>
              <w:rPr>
                <w:rFonts w:ascii="Times New Roman" w:hAnsi="Times New Roman" w:eastAsia="Yu Mincho"/>
                <w:lang w:val="en-US"/>
              </w:rPr>
              <w:t>21.8</w:t>
            </w:r>
          </w:p>
        </w:tc>
        <w:tc>
          <w:tcPr>
            <w:tcW w:w="1255" w:type="dxa"/>
          </w:tcPr>
          <w:p>
            <w:pPr>
              <w:pStyle w:val="36"/>
              <w:overflowPunct w:val="0"/>
              <w:autoSpaceDE w:val="0"/>
              <w:autoSpaceDN w:val="0"/>
              <w:adjustRightInd w:val="0"/>
              <w:textAlignment w:val="baseline"/>
              <w:rPr>
                <w:rFonts w:ascii="Times New Roman" w:hAnsi="Times New Roman" w:eastAsia="Yu Mincho"/>
                <w:lang w:val="en-US"/>
              </w:rPr>
            </w:pPr>
            <w:r>
              <w:rPr>
                <w:rFonts w:ascii="Times New Roman" w:hAnsi="Times New Roman" w:eastAsia="Yu Mincho"/>
                <w:color w:val="0000FF"/>
                <w:lang w:val="en-US"/>
                <w:rPrChange w:id="1" w:author="ZTE,Fei Xue" w:date="2023-08-11T16:10:58Z">
                  <w:rPr>
                    <w:rFonts w:ascii="Times New Roman" w:hAnsi="Times New Roman" w:eastAsia="Yu Mincho"/>
                    <w:lang w:val="en-US"/>
                  </w:rPr>
                </w:rPrChange>
              </w:rPr>
              <w:t>16.2</w:t>
            </w:r>
          </w:p>
        </w:tc>
      </w:tr>
    </w:tbl>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2127"/>
        </w:tabs>
        <w:kinsoku/>
        <w:wordWrap/>
        <w:topLinePunct w:val="0"/>
        <w:bidi w:val="0"/>
        <w:ind w:firstLine="0" w:firstLineChars="0"/>
        <w:jc w:val="both"/>
        <w:outlineLvl w:val="9"/>
        <w:rPr>
          <w:rFonts w:hint="default"/>
          <w:b/>
          <w:bCs/>
          <w:i w:val="0"/>
          <w:iCs w:val="0"/>
          <w:color w:val="auto"/>
          <w:u w:val="none"/>
          <w:lang w:val="en-US" w:eastAsia="zh-CN"/>
        </w:rPr>
      </w:pPr>
      <w:r>
        <w:rPr>
          <w:rFonts w:hint="eastAsia" w:cs="Times New Roman"/>
          <w:b/>
          <w:bCs/>
          <w:kern w:val="2"/>
          <w:sz w:val="21"/>
          <w:szCs w:val="22"/>
          <w:highlight w:val="none"/>
          <w:lang w:val="en-US" w:eastAsia="zh-CN" w:bidi="ar-SA"/>
        </w:rPr>
        <w:t>Proposal 1</w:t>
      </w:r>
      <w:r>
        <w:rPr>
          <w:rFonts w:hint="eastAsia" w:cs="Times New Roman"/>
          <w:kern w:val="2"/>
          <w:sz w:val="21"/>
          <w:szCs w:val="22"/>
          <w:highlight w:val="none"/>
          <w:lang w:val="en-US" w:eastAsia="zh-CN" w:bidi="ar-SA"/>
        </w:rPr>
        <w:t>: to update the ACLR requirement for TN as following:</w:t>
      </w:r>
    </w:p>
    <w:tbl>
      <w:tblPr>
        <w:tblStyle w:val="25"/>
        <w:tblW w:w="9631" w:type="dxa"/>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247"/>
        <w:gridCol w:w="1306"/>
        <w:gridCol w:w="1444"/>
        <w:gridCol w:w="1306"/>
        <w:gridCol w:w="1255"/>
        <w:gridCol w:w="1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18" w:type="dxa"/>
            <w:vMerge w:val="restart"/>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Frequency band</w:t>
            </w:r>
          </w:p>
        </w:tc>
        <w:tc>
          <w:tcPr>
            <w:tcW w:w="2553" w:type="dxa"/>
            <w:gridSpan w:val="2"/>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BS</w:t>
            </w:r>
          </w:p>
        </w:tc>
        <w:tc>
          <w:tcPr>
            <w:tcW w:w="2750" w:type="dxa"/>
            <w:gridSpan w:val="2"/>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UE</w:t>
            </w:r>
          </w:p>
        </w:tc>
        <w:tc>
          <w:tcPr>
            <w:tcW w:w="2510" w:type="dxa"/>
            <w:gridSpan w:val="2"/>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lang w:val="en-US"/>
              </w:rPr>
            </w:pPr>
            <w:r>
              <w:rPr>
                <w:rFonts w:ascii="Times New Roman" w:hAnsi="Times New Roman" w:eastAsia="Yu Mincho"/>
                <w:lang w:val="en-US"/>
              </w:rPr>
              <w:t>ACIR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18" w:type="dxa"/>
            <w:vMerge w:val="continue"/>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p>
        </w:tc>
        <w:tc>
          <w:tcPr>
            <w:tcW w:w="1247"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ACLR</w:t>
            </w:r>
          </w:p>
        </w:tc>
        <w:tc>
          <w:tcPr>
            <w:tcW w:w="1306"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ACS</w:t>
            </w:r>
          </w:p>
        </w:tc>
        <w:tc>
          <w:tcPr>
            <w:tcW w:w="1444"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ACLR</w:t>
            </w:r>
          </w:p>
        </w:tc>
        <w:tc>
          <w:tcPr>
            <w:tcW w:w="1306"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ACS</w:t>
            </w:r>
          </w:p>
        </w:tc>
        <w:tc>
          <w:tcPr>
            <w:tcW w:w="1255"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lang w:val="en-US"/>
              </w:rPr>
            </w:pPr>
            <w:r>
              <w:rPr>
                <w:rFonts w:ascii="Times New Roman" w:hAnsi="Times New Roman" w:eastAsia="Yu Mincho"/>
                <w:lang w:val="en-US"/>
              </w:rPr>
              <w:t>BS ACLR</w:t>
            </w:r>
          </w:p>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lang w:val="en-US"/>
              </w:rPr>
              <w:t>UE ACS</w:t>
            </w:r>
          </w:p>
        </w:tc>
        <w:tc>
          <w:tcPr>
            <w:tcW w:w="1255"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lang w:val="en-US"/>
              </w:rPr>
            </w:pPr>
            <w:r>
              <w:rPr>
                <w:rFonts w:ascii="Times New Roman" w:hAnsi="Times New Roman" w:eastAsia="Yu Mincho"/>
                <w:lang w:val="en-US"/>
              </w:rPr>
              <w:t>UE ACLR</w:t>
            </w:r>
          </w:p>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lang w:val="en-US"/>
              </w:rPr>
              <w:t>BS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18" w:type="dxa"/>
          </w:tcPr>
          <w:p>
            <w:pPr>
              <w:pStyle w:val="37"/>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 xml:space="preserve">17 GHz </w:t>
            </w:r>
          </w:p>
        </w:tc>
        <w:tc>
          <w:tcPr>
            <w:tcW w:w="1247" w:type="dxa"/>
          </w:tcPr>
          <w:p>
            <w:pPr>
              <w:pStyle w:val="36"/>
              <w:overflowPunct w:val="0"/>
              <w:autoSpaceDE w:val="0"/>
              <w:autoSpaceDN w:val="0"/>
              <w:adjustRightInd w:val="0"/>
              <w:textAlignment w:val="baseline"/>
              <w:rPr>
                <w:rFonts w:ascii="Times New Roman" w:hAnsi="Times New Roman" w:eastAsiaTheme="minorEastAsia"/>
                <w:highlight w:val="yellow"/>
                <w:lang w:val="en-US"/>
              </w:rPr>
            </w:pPr>
            <w:r>
              <w:rPr>
                <w:rFonts w:ascii="Times New Roman" w:hAnsi="Times New Roman" w:eastAsiaTheme="minorEastAsia"/>
                <w:highlight w:val="yellow"/>
                <w:lang w:val="en-US"/>
              </w:rPr>
              <w:t>[30]</w:t>
            </w:r>
          </w:p>
        </w:tc>
        <w:tc>
          <w:tcPr>
            <w:tcW w:w="1306" w:type="dxa"/>
          </w:tcPr>
          <w:p>
            <w:pPr>
              <w:pStyle w:val="36"/>
              <w:overflowPunct w:val="0"/>
              <w:autoSpaceDE w:val="0"/>
              <w:autoSpaceDN w:val="0"/>
              <w:adjustRightInd w:val="0"/>
              <w:textAlignment w:val="baseline"/>
              <w:rPr>
                <w:rFonts w:ascii="Times New Roman" w:hAnsi="Times New Roman" w:eastAsia="Yu Mincho"/>
                <w:highlight w:val="yellow"/>
                <w:lang w:val="en-US"/>
              </w:rPr>
            </w:pPr>
            <w:r>
              <w:rPr>
                <w:rFonts w:ascii="Times New Roman" w:hAnsi="Times New Roman" w:eastAsia="Yu Mincho"/>
                <w:highlight w:val="yellow"/>
                <w:lang w:val="en-US"/>
              </w:rPr>
              <w:t>[26]</w:t>
            </w:r>
          </w:p>
        </w:tc>
        <w:tc>
          <w:tcPr>
            <w:tcW w:w="1444" w:type="dxa"/>
          </w:tcPr>
          <w:p>
            <w:pPr>
              <w:pStyle w:val="36"/>
              <w:overflowPunct w:val="0"/>
              <w:autoSpaceDE w:val="0"/>
              <w:autoSpaceDN w:val="0"/>
              <w:adjustRightInd w:val="0"/>
              <w:textAlignment w:val="baseline"/>
              <w:rPr>
                <w:rFonts w:hint="default" w:ascii="Times New Roman" w:hAnsi="Times New Roman" w:eastAsia="宋体"/>
                <w:highlight w:val="yellow"/>
                <w:lang w:val="en-US" w:eastAsia="zh-CN"/>
              </w:rPr>
            </w:pPr>
            <w:r>
              <w:rPr>
                <w:rFonts w:hint="eastAsia" w:ascii="Times New Roman" w:hAnsi="Times New Roman" w:eastAsia="宋体"/>
                <w:highlight w:val="yellow"/>
                <w:lang w:val="en-US" w:eastAsia="zh-CN"/>
              </w:rPr>
              <w:t>23</w:t>
            </w:r>
          </w:p>
        </w:tc>
        <w:tc>
          <w:tcPr>
            <w:tcW w:w="1306" w:type="dxa"/>
          </w:tcPr>
          <w:p>
            <w:pPr>
              <w:pStyle w:val="36"/>
              <w:overflowPunct w:val="0"/>
              <w:autoSpaceDE w:val="0"/>
              <w:autoSpaceDN w:val="0"/>
              <w:adjustRightInd w:val="0"/>
              <w:textAlignment w:val="baseline"/>
              <w:rPr>
                <w:rFonts w:ascii="Times New Roman" w:hAnsi="Times New Roman" w:eastAsia="Yu Mincho"/>
                <w:highlight w:val="yellow"/>
                <w:lang w:val="en-US"/>
              </w:rPr>
            </w:pPr>
            <w:r>
              <w:rPr>
                <w:rFonts w:ascii="Times New Roman" w:hAnsi="Times New Roman" w:eastAsia="Yu Mincho"/>
                <w:highlight w:val="yellow"/>
                <w:lang w:val="en-US"/>
              </w:rPr>
              <w:t>[25]</w:t>
            </w:r>
          </w:p>
        </w:tc>
        <w:tc>
          <w:tcPr>
            <w:tcW w:w="1255" w:type="dxa"/>
          </w:tcPr>
          <w:p>
            <w:pPr>
              <w:pStyle w:val="36"/>
              <w:overflowPunct w:val="0"/>
              <w:autoSpaceDE w:val="0"/>
              <w:autoSpaceDN w:val="0"/>
              <w:adjustRightInd w:val="0"/>
              <w:textAlignment w:val="baseline"/>
              <w:rPr>
                <w:rFonts w:ascii="Times New Roman" w:hAnsi="Times New Roman" w:eastAsia="Yu Mincho"/>
                <w:highlight w:val="yellow"/>
                <w:lang w:val="en-US"/>
              </w:rPr>
            </w:pPr>
            <w:r>
              <w:rPr>
                <w:rFonts w:ascii="Times New Roman" w:hAnsi="Times New Roman" w:eastAsia="Yu Mincho"/>
                <w:highlight w:val="yellow"/>
                <w:lang w:val="en-US"/>
              </w:rPr>
              <w:t>[23.8]</w:t>
            </w:r>
          </w:p>
        </w:tc>
        <w:tc>
          <w:tcPr>
            <w:tcW w:w="1255" w:type="dxa"/>
          </w:tcPr>
          <w:p>
            <w:pPr>
              <w:pStyle w:val="36"/>
              <w:overflowPunct w:val="0"/>
              <w:autoSpaceDE w:val="0"/>
              <w:autoSpaceDN w:val="0"/>
              <w:adjustRightInd w:val="0"/>
              <w:textAlignment w:val="baseline"/>
              <w:rPr>
                <w:rFonts w:ascii="Times New Roman" w:hAnsi="Times New Roman" w:eastAsia="Yu Mincho"/>
                <w:highlight w:val="yellow"/>
                <w:lang w:val="en-US"/>
              </w:rPr>
            </w:pPr>
            <w:r>
              <w:rPr>
                <w:rFonts w:ascii="Times New Roman" w:hAnsi="Times New Roman" w:eastAsia="Yu Mincho"/>
                <w:highlight w:val="yellow"/>
                <w:lang w:val="en-US"/>
              </w:rPr>
              <w:t>[</w:t>
            </w:r>
            <w:r>
              <w:rPr>
                <w:rFonts w:hint="eastAsia" w:ascii="Times New Roman" w:hAnsi="Times New Roman" w:eastAsia="宋体"/>
                <w:highlight w:val="yellow"/>
                <w:lang w:val="en-US" w:eastAsia="zh-CN"/>
              </w:rPr>
              <w:t>21.2</w:t>
            </w:r>
            <w:r>
              <w:rPr>
                <w:rFonts w:ascii="Times New Roman" w:hAnsi="Times New Roman" w:eastAsia="Yu Mincho"/>
                <w:highlight w:val="yellow"/>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18" w:type="dxa"/>
          </w:tcPr>
          <w:p>
            <w:pPr>
              <w:pStyle w:val="37"/>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 xml:space="preserve">27 GHz </w:t>
            </w:r>
          </w:p>
        </w:tc>
        <w:tc>
          <w:tcPr>
            <w:tcW w:w="1247" w:type="dxa"/>
          </w:tcPr>
          <w:p>
            <w:pPr>
              <w:pStyle w:val="36"/>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28</w:t>
            </w:r>
          </w:p>
        </w:tc>
        <w:tc>
          <w:tcPr>
            <w:tcW w:w="1306" w:type="dxa"/>
          </w:tcPr>
          <w:p>
            <w:pPr>
              <w:pStyle w:val="36"/>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24</w:t>
            </w:r>
          </w:p>
        </w:tc>
        <w:tc>
          <w:tcPr>
            <w:tcW w:w="1444" w:type="dxa"/>
          </w:tcPr>
          <w:p>
            <w:pPr>
              <w:pStyle w:val="36"/>
              <w:overflowPunct w:val="0"/>
              <w:autoSpaceDE w:val="0"/>
              <w:autoSpaceDN w:val="0"/>
              <w:adjustRightInd w:val="0"/>
              <w:textAlignment w:val="baseline"/>
              <w:rPr>
                <w:rFonts w:hint="default" w:ascii="Times New Roman" w:hAnsi="Times New Roman" w:eastAsia="宋体"/>
                <w:lang w:val="en-US" w:eastAsia="zh-CN"/>
              </w:rPr>
            </w:pPr>
            <w:r>
              <w:rPr>
                <w:rFonts w:hint="eastAsia" w:ascii="Times New Roman" w:hAnsi="Times New Roman" w:eastAsia="宋体"/>
                <w:lang w:val="en-US" w:eastAsia="zh-CN"/>
              </w:rPr>
              <w:t>23</w:t>
            </w:r>
          </w:p>
        </w:tc>
        <w:tc>
          <w:tcPr>
            <w:tcW w:w="1306" w:type="dxa"/>
          </w:tcPr>
          <w:p>
            <w:pPr>
              <w:pStyle w:val="36"/>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23</w:t>
            </w:r>
          </w:p>
        </w:tc>
        <w:tc>
          <w:tcPr>
            <w:tcW w:w="1255" w:type="dxa"/>
          </w:tcPr>
          <w:p>
            <w:pPr>
              <w:pStyle w:val="36"/>
              <w:overflowPunct w:val="0"/>
              <w:autoSpaceDE w:val="0"/>
              <w:autoSpaceDN w:val="0"/>
              <w:adjustRightInd w:val="0"/>
              <w:textAlignment w:val="baseline"/>
              <w:rPr>
                <w:rFonts w:ascii="Times New Roman" w:hAnsi="Times New Roman" w:eastAsia="Yu Mincho"/>
                <w:lang w:val="en-US"/>
              </w:rPr>
            </w:pPr>
            <w:r>
              <w:rPr>
                <w:rFonts w:ascii="Times New Roman" w:hAnsi="Times New Roman" w:eastAsia="Yu Mincho"/>
                <w:lang w:val="en-US"/>
              </w:rPr>
              <w:t>21.8</w:t>
            </w:r>
          </w:p>
        </w:tc>
        <w:tc>
          <w:tcPr>
            <w:tcW w:w="1255" w:type="dxa"/>
          </w:tcPr>
          <w:p>
            <w:pPr>
              <w:pStyle w:val="36"/>
              <w:overflowPunct w:val="0"/>
              <w:autoSpaceDE w:val="0"/>
              <w:autoSpaceDN w:val="0"/>
              <w:adjustRightInd w:val="0"/>
              <w:textAlignment w:val="baseline"/>
              <w:rPr>
                <w:rFonts w:hint="default" w:ascii="Times New Roman" w:hAnsi="Times New Roman" w:eastAsia="宋体"/>
                <w:lang w:val="en-US" w:eastAsia="zh-CN"/>
              </w:rPr>
            </w:pPr>
            <w:r>
              <w:rPr>
                <w:rFonts w:hint="eastAsia" w:ascii="Times New Roman" w:hAnsi="Times New Roman" w:eastAsia="宋体"/>
                <w:lang w:val="en-US" w:eastAsia="zh-CN"/>
              </w:rPr>
              <w:t>20.5</w:t>
            </w:r>
          </w:p>
        </w:tc>
      </w:tr>
    </w:tbl>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In addition, the conducted power for FR2 TN BS is not correct which is based on the 43dBm which is much higher than the practical value. we suggest to follow the FR2 SBFD coexistence study which is 30dBm for total power.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addition, mechanical downtilt should be 6 degree instead of 10degree which is used for the Micro scenario.</w:t>
      </w:r>
    </w:p>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2127"/>
        </w:tabs>
        <w:kinsoku/>
        <w:wordWrap/>
        <w:topLinePunct w:val="0"/>
        <w:bidi w:val="0"/>
        <w:ind w:firstLine="0" w:firstLineChars="0"/>
        <w:jc w:val="both"/>
        <w:outlineLvl w:val="9"/>
        <w:rPr>
          <w:rFonts w:hint="default"/>
          <w:b/>
          <w:bCs/>
          <w:i w:val="0"/>
          <w:iCs w:val="0"/>
          <w:color w:val="auto"/>
          <w:u w:val="none"/>
          <w:lang w:val="en-US" w:eastAsia="zh-CN"/>
        </w:rPr>
      </w:pPr>
      <w:r>
        <w:rPr>
          <w:rFonts w:hint="eastAsia" w:cs="Times New Roman"/>
          <w:b/>
          <w:bCs/>
          <w:kern w:val="2"/>
          <w:sz w:val="21"/>
          <w:szCs w:val="22"/>
          <w:highlight w:val="none"/>
          <w:lang w:val="en-US" w:eastAsia="zh-CN" w:bidi="ar-SA"/>
        </w:rPr>
        <w:t>Proposal 2</w:t>
      </w:r>
      <w:r>
        <w:rPr>
          <w:rFonts w:hint="eastAsia" w:cs="Times New Roman"/>
          <w:kern w:val="2"/>
          <w:sz w:val="21"/>
          <w:szCs w:val="22"/>
          <w:highlight w:val="none"/>
          <w:lang w:val="en-US" w:eastAsia="zh-CN" w:bidi="ar-SA"/>
        </w:rPr>
        <w:t>: to update the BS antenna configuration as following:</w:t>
      </w:r>
    </w:p>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p>
      <w:pPr>
        <w:spacing w:after="120"/>
        <w:rPr>
          <w:b/>
          <w:u w:val="single"/>
        </w:rPr>
      </w:pPr>
      <w:r>
        <w:rPr>
          <w:b/>
          <w:u w:val="single"/>
        </w:rPr>
        <w:t>BS antenna</w:t>
      </w:r>
    </w:p>
    <w:tbl>
      <w:tblPr>
        <w:tblStyle w:val="2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1"/>
        <w:gridCol w:w="4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736" w:type="pct"/>
            <w:tcBorders>
              <w:top w:val="single" w:color="auto" w:sz="4" w:space="0"/>
              <w:left w:val="single" w:color="auto" w:sz="4" w:space="0"/>
              <w:bottom w:val="single" w:color="auto" w:sz="4" w:space="0"/>
              <w:right w:val="single" w:color="auto" w:sz="4" w:space="0"/>
            </w:tcBorders>
            <w:vAlign w:val="center"/>
          </w:tcPr>
          <w:p>
            <w:pPr>
              <w:rPr>
                <w:b/>
                <w:sz w:val="18"/>
                <w:szCs w:val="18"/>
                <w:lang w:val="en-US" w:eastAsia="zh-CN"/>
              </w:rPr>
            </w:pP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b/>
                <w:sz w:val="18"/>
                <w:szCs w:val="18"/>
              </w:rP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Antenna pattern</w:t>
            </w:r>
          </w:p>
        </w:tc>
        <w:tc>
          <w:tcPr>
            <w:tcW w:w="2263" w:type="pct"/>
            <w:tcBorders>
              <w:top w:val="single" w:color="auto" w:sz="4" w:space="0"/>
              <w:left w:val="single" w:color="auto" w:sz="4" w:space="0"/>
              <w:bottom w:val="single" w:color="auto" w:sz="4" w:space="0"/>
              <w:right w:val="single" w:color="auto" w:sz="4" w:space="0"/>
            </w:tcBorders>
          </w:tcPr>
          <w:p>
            <w:pPr>
              <w:jc w:val="center"/>
              <w:rPr>
                <w:sz w:val="18"/>
                <w:szCs w:val="18"/>
              </w:rPr>
            </w:pPr>
            <w:r>
              <w:rPr>
                <w:sz w:val="18"/>
                <w:szCs w:val="18"/>
              </w:rPr>
              <w:t>TR 38.803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 xml:space="preserve">Horizontal </w:t>
            </w:r>
            <w:r>
              <w:rPr>
                <w:rFonts w:eastAsia="Times New Roman"/>
                <w:i/>
                <w:lang w:eastAsia="zh-CN"/>
              </w:rPr>
              <w:t>j</w:t>
            </w:r>
            <w:r>
              <w:rPr>
                <w:i/>
                <w:vertAlign w:val="subscript"/>
                <w:lang w:eastAsia="zh-CN"/>
              </w:rPr>
              <w:t>3dB</w:t>
            </w:r>
            <w:r>
              <w:rPr>
                <w:sz w:val="18"/>
                <w:szCs w:val="18"/>
              </w:rPr>
              <w:t xml:space="preserve"> /vertical </w:t>
            </w:r>
            <w:r>
              <w:rPr>
                <w:rFonts w:eastAsia="Times New Roman"/>
                <w:i/>
                <w:lang w:eastAsia="zh-CN"/>
              </w:rPr>
              <w:t>q</w:t>
            </w:r>
            <w:r>
              <w:rPr>
                <w:i/>
                <w:vertAlign w:val="subscript"/>
                <w:lang w:eastAsia="zh-CN"/>
              </w:rPr>
              <w:t>3dB</w:t>
            </w:r>
            <w:r>
              <w:rPr>
                <w:sz w:val="18"/>
                <w:szCs w:val="18"/>
              </w:rPr>
              <w:t xml:space="preserve"> 3 dB beam width of single element (degree) </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90º for H</w:t>
            </w:r>
          </w:p>
          <w:p>
            <w:pPr>
              <w:jc w:val="center"/>
              <w:rPr>
                <w:sz w:val="18"/>
                <w:szCs w:val="18"/>
              </w:rPr>
            </w:pPr>
            <w:r>
              <w:rPr>
                <w:sz w:val="18"/>
                <w:szCs w:val="18"/>
              </w:rPr>
              <w:t>90º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Horizontal/vertical front</w:t>
            </w:r>
            <w:r>
              <w:rPr>
                <w:sz w:val="18"/>
                <w:szCs w:val="18"/>
              </w:rPr>
              <w:noBreakHyphen/>
            </w:r>
            <w:r>
              <w:rPr>
                <w:sz w:val="18"/>
                <w:szCs w:val="18"/>
              </w:rPr>
              <w:t>to</w:t>
            </w:r>
            <w:r>
              <w:rPr>
                <w:sz w:val="18"/>
                <w:szCs w:val="18"/>
              </w:rPr>
              <w:noBreakHyphen/>
            </w:r>
            <w:r>
              <w:rPr>
                <w:sz w:val="18"/>
                <w:szCs w:val="18"/>
              </w:rPr>
              <w:t xml:space="preserve">back ratio </w:t>
            </w:r>
            <w:r>
              <w:rPr>
                <w:i/>
                <w:szCs w:val="18"/>
              </w:rPr>
              <w:t>A</w:t>
            </w:r>
            <w:r>
              <w:rPr>
                <w:i/>
                <w:szCs w:val="18"/>
                <w:vertAlign w:val="subscript"/>
              </w:rPr>
              <w:t>m</w:t>
            </w:r>
            <w:r>
              <w:rPr>
                <w:sz w:val="18"/>
                <w:szCs w:val="18"/>
              </w:rPr>
              <w:t xml:space="preserve"> (dB)</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 xml:space="preserve">Side lobe suppression </w:t>
            </w:r>
            <w:r>
              <w:rPr>
                <w:i/>
                <w:lang w:eastAsia="zh-CN"/>
              </w:rPr>
              <w:t>SLA</w:t>
            </w:r>
            <w:r>
              <w:rPr>
                <w:i/>
                <w:vertAlign w:val="subscript"/>
                <w:lang w:eastAsia="zh-CN"/>
              </w:rPr>
              <w:t>v (dB)</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 xml:space="preserve">Antenna polarization </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Linear ±45º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 xml:space="preserve">Antenna array configuration (Row × Column) </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16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 xml:space="preserve">Horizontal/Vertical radiating element spacing </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r>
              <w:rPr>
                <w:i/>
                <w:iCs/>
                <w:color w:val="0000FF"/>
                <w:sz w:val="18"/>
                <w:szCs w:val="18"/>
                <w:lang w:eastAsia="zh-CN"/>
              </w:rPr>
              <w:t>d</w:t>
            </w:r>
            <w:r>
              <w:rPr>
                <w:i/>
                <w:iCs/>
                <w:color w:val="0000FF"/>
                <w:sz w:val="18"/>
                <w:szCs w:val="18"/>
                <w:vertAlign w:val="subscript"/>
                <w:lang w:eastAsia="zh-CN"/>
              </w:rPr>
              <w:t>h</w:t>
            </w:r>
            <w:r>
              <w:rPr>
                <w:color w:val="0000FF"/>
                <w:sz w:val="18"/>
                <w:szCs w:val="18"/>
              </w:rPr>
              <w:t xml:space="preserve"> = 0.5 </w:t>
            </w:r>
          </w:p>
          <w:p>
            <w:pPr>
              <w:jc w:val="center"/>
              <w:rPr>
                <w:sz w:val="18"/>
                <w:szCs w:val="18"/>
              </w:rPr>
            </w:pPr>
            <w:r>
              <w:rPr>
                <w:i/>
                <w:iCs/>
                <w:color w:val="0000FF"/>
                <w:sz w:val="18"/>
                <w:szCs w:val="18"/>
                <w:lang w:eastAsia="zh-CN"/>
              </w:rPr>
              <w:t>dv</w:t>
            </w:r>
            <w:r>
              <w:rPr>
                <w:color w:val="0000FF"/>
                <w:sz w:val="18"/>
                <w:szCs w:val="18"/>
              </w:rPr>
              <w:t xml:space="preserve">  = 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trike/>
                <w:sz w:val="18"/>
                <w:szCs w:val="18"/>
              </w:rPr>
            </w:pPr>
            <w:r>
              <w:rPr>
                <w:strike/>
                <w:sz w:val="18"/>
                <w:szCs w:val="18"/>
              </w:rPr>
              <w:t xml:space="preserve">Array Ohmic loss </w:t>
            </w:r>
            <w:r>
              <w:rPr>
                <w:i/>
                <w:iCs/>
                <w:strike/>
                <w:sz w:val="18"/>
                <w:szCs w:val="18"/>
                <w:lang w:eastAsia="zh-CN"/>
              </w:rPr>
              <w:t>L</w:t>
            </w:r>
            <w:r>
              <w:rPr>
                <w:i/>
                <w:iCs/>
                <w:strike/>
                <w:sz w:val="18"/>
                <w:szCs w:val="18"/>
                <w:vertAlign w:val="subscript"/>
                <w:lang w:eastAsia="zh-CN"/>
              </w:rPr>
              <w:t>E</w:t>
            </w:r>
            <w:r>
              <w:rPr>
                <w:strike/>
                <w:sz w:val="18"/>
                <w:szCs w:val="18"/>
              </w:rPr>
              <w:t xml:space="preserve"> (dB) </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trike/>
                <w:sz w:val="18"/>
                <w:szCs w:val="18"/>
              </w:rPr>
            </w:pPr>
            <w:r>
              <w:rPr>
                <w:strike/>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trike/>
                <w:sz w:val="18"/>
                <w:szCs w:val="18"/>
              </w:rPr>
            </w:pPr>
            <w:r>
              <w:rPr>
                <w:strike/>
                <w:sz w:val="18"/>
                <w:szCs w:val="18"/>
              </w:rPr>
              <w:t xml:space="preserve">Conducted power (before Ohmic loss) per antenna element (dBm) </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trike/>
                <w:sz w:val="18"/>
                <w:szCs w:val="18"/>
              </w:rPr>
            </w:pPr>
            <w:r>
              <w:rPr>
                <w:strike/>
                <w:sz w:val="18"/>
                <w:szCs w:val="1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jc w:val="left"/>
              <w:rPr>
                <w:rFonts w:hint="default" w:eastAsia="宋体"/>
                <w:strike w:val="0"/>
                <w:sz w:val="18"/>
                <w:szCs w:val="18"/>
                <w:lang w:val="en-US" w:eastAsia="zh-CN"/>
              </w:rPr>
            </w:pPr>
            <w:r>
              <w:rPr>
                <w:rFonts w:ascii="Times New Roman" w:hAnsi="Times New Roman" w:cs="Times New Roman"/>
                <w:sz w:val="18"/>
                <w:szCs w:val="18"/>
                <w:lang w:eastAsia="zh-CN"/>
              </w:rPr>
              <w:t>Transmitter power</w:t>
            </w:r>
            <w:r>
              <w:rPr>
                <w:rFonts w:hint="eastAsia" w:cs="Times New Roman"/>
                <w:sz w:val="18"/>
                <w:szCs w:val="18"/>
                <w:lang w:val="en-US" w:eastAsia="zh-CN"/>
              </w:rPr>
              <w:t xml:space="preserve"> </w:t>
            </w:r>
            <w:r>
              <w:rPr>
                <w:rFonts w:ascii="Times New Roman" w:hAnsi="Times New Roman"/>
                <w:sz w:val="18"/>
                <w:szCs w:val="18"/>
                <w:lang w:eastAsia="zh-CN"/>
              </w:rPr>
              <w:t>(Total conducted power)</w:t>
            </w:r>
            <w:r>
              <w:rPr>
                <w:rFonts w:hint="default"/>
                <w:strike w:val="0"/>
                <w:sz w:val="18"/>
                <w:szCs w:val="18"/>
                <w:lang w:val="en-US" w:eastAsia="zh-CN"/>
              </w:rPr>
              <w:t xml:space="preserve"> (dBm)</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strike w:val="0"/>
                <w:sz w:val="18"/>
                <w:szCs w:val="18"/>
                <w:lang w:val="en-US" w:eastAsia="zh-CN"/>
              </w:rPr>
            </w:pPr>
            <w:r>
              <w:rPr>
                <w:rFonts w:hint="eastAsia"/>
                <w:strike w:val="0"/>
                <w:sz w:val="18"/>
                <w:szCs w:val="18"/>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Mechanical downtilt (degrees)</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sz w:val="18"/>
                <w:szCs w:val="18"/>
                <w:lang w:eastAsia="zh-CN"/>
              </w:rPr>
            </w:pPr>
            <w:r>
              <w:rPr>
                <w:rFonts w:hint="eastAsia"/>
                <w:sz w:val="18"/>
                <w:szCs w:val="18"/>
                <w:lang w:val="en-US" w:eastAsia="zh-CN"/>
              </w:rPr>
              <w:t>6</w:t>
            </w:r>
          </w:p>
        </w:tc>
      </w:tr>
    </w:tbl>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2127"/>
        </w:tabs>
        <w:kinsoku/>
        <w:wordWrap/>
        <w:topLinePunct w:val="0"/>
        <w:bidi w:val="0"/>
        <w:ind w:firstLine="0" w:firstLineChars="0"/>
        <w:jc w:val="both"/>
        <w:outlineLvl w:val="9"/>
        <w:rPr>
          <w:rFonts w:hint="default"/>
          <w:b/>
          <w:bCs/>
          <w:i w:val="0"/>
          <w:iCs w:val="0"/>
          <w:color w:val="auto"/>
          <w:u w:val="none"/>
          <w:lang w:val="en-US" w:eastAsia="zh-CN"/>
        </w:rPr>
      </w:pPr>
    </w:p>
    <w:p>
      <w:pPr>
        <w:keepNext/>
        <w:keepLines/>
        <w:pageBreakBefore w:val="0"/>
        <w:widowControl/>
        <w:suppressLineNumbers w:val="0"/>
        <w:kinsoku/>
        <w:wordWrap/>
        <w:topLinePunct w:val="0"/>
        <w:bidi w:val="0"/>
        <w:ind w:firstLine="0" w:firstLineChars="0"/>
        <w:jc w:val="both"/>
        <w:rPr>
          <w:rFonts w:hint="eastAsia"/>
          <w:b/>
          <w:bCs/>
          <w:i w:val="0"/>
          <w:iCs w:val="0"/>
          <w:color w:val="auto"/>
          <w:u w:val="none"/>
          <w:lang w:val="en-US" w:eastAsia="zh-CN"/>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In the last RAN4 meeting, we reached good progress for VSAT antenna pattern, however from the antenna pattern in dBc is not agreed yet, we prefer to go with option 2 similar as Rel-17 assumption. </w:t>
      </w:r>
    </w:p>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p>
      <w:pPr>
        <w:snapToGrid w:val="0"/>
        <w:rPr>
          <w:rFonts w:eastAsiaTheme="minorEastAsia"/>
          <w:b/>
          <w:sz w:val="18"/>
          <w:szCs w:val="15"/>
          <w:u w:val="single"/>
          <w:lang w:eastAsia="zh-CN"/>
        </w:rPr>
      </w:pPr>
      <w:r>
        <w:rPr>
          <w:rFonts w:eastAsiaTheme="minorEastAsia"/>
          <w:b/>
          <w:sz w:val="18"/>
          <w:szCs w:val="15"/>
          <w:u w:val="single"/>
          <w:lang w:eastAsia="zh-CN"/>
        </w:rPr>
        <w:t>Parabolic antenna pattern for NTN UE:</w:t>
      </w:r>
    </w:p>
    <w:p>
      <w:pPr>
        <w:pStyle w:val="34"/>
        <w:numPr>
          <w:ilvl w:val="1"/>
          <w:numId w:val="2"/>
        </w:numPr>
        <w:overflowPunct/>
        <w:autoSpaceDE/>
        <w:autoSpaceDN/>
        <w:adjustRightInd/>
        <w:spacing w:after="120"/>
        <w:ind w:left="1440" w:firstLineChars="0"/>
        <w:textAlignment w:val="auto"/>
        <w:rPr>
          <w:rFonts w:eastAsia="宋体"/>
          <w:szCs w:val="24"/>
          <w:lang w:eastAsia="zh-CN"/>
        </w:rPr>
      </w:pPr>
      <w:r>
        <w:rPr>
          <w:bCs/>
          <w:lang w:val="sv-SE"/>
        </w:rPr>
        <w:t>Use the following parabolic antenna model for NTN UE</w:t>
      </w:r>
    </w:p>
    <w:p>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ctrlPr>
                <w:rPr>
                  <w:rFonts w:ascii="Cambria Math" w:hAnsi="Cambria Math"/>
                  <w:i/>
                </w:rPr>
              </m:ctrlP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ctrlPr>
                    <w:rPr>
                      <w:rFonts w:ascii="Cambria Math" w:hAnsi="Cambria Math"/>
                      <w:i/>
                    </w:rPr>
                  </m:ctrlPr>
                </m:e>
                <m:sub>
                  <m:r>
                    <w:rPr>
                      <w:rFonts w:ascii="Cambria Math" w:hAnsi="Cambria Math"/>
                    </w:rPr>
                    <m:t>1</m:t>
                  </m:r>
                  <m:ctrlPr>
                    <w:rPr>
                      <w:rFonts w:ascii="Cambria Math" w:hAnsi="Cambria Math"/>
                      <w:i/>
                    </w:rPr>
                  </m:ctrlPr>
                </m:sub>
              </m:sSub>
              <m:d>
                <m:dPr>
                  <m:ctrlPr>
                    <w:rPr>
                      <w:rFonts w:ascii="Cambria Math" w:hAnsi="Cambria Math"/>
                      <w:i/>
                    </w:rPr>
                  </m:ctrlPr>
                </m:dPr>
                <m:e>
                  <m:r>
                    <w:rPr>
                      <w:rFonts w:ascii="Cambria Math" w:hAnsi="Cambria Math"/>
                    </w:rPr>
                    <m:t>u</m:t>
                  </m:r>
                  <m:ctrlPr>
                    <w:rPr>
                      <w:rFonts w:ascii="Cambria Math" w:hAnsi="Cambria Math"/>
                      <w:i/>
                    </w:rPr>
                  </m:ctrlPr>
                </m:e>
              </m:d>
              <m:ctrlPr>
                <w:rPr>
                  <w:rFonts w:ascii="Cambria Math" w:hAnsi="Cambria Math"/>
                  <w:i/>
                </w:rPr>
              </m:ctrlPr>
            </m:num>
            <m:den>
              <m:r>
                <w:rPr>
                  <w:rFonts w:ascii="Cambria Math" w:hAnsi="Cambria Math"/>
                </w:rPr>
                <m:t>u</m:t>
              </m:r>
              <m:ctrlPr>
                <w:rPr>
                  <w:rFonts w:ascii="Cambria Math" w:hAnsi="Cambria Math"/>
                  <w:i/>
                </w:rPr>
              </m:ctrlPr>
            </m:den>
          </m:f>
        </m:oMath>
      </m:oMathPara>
    </w:p>
    <w:p>
      <w:pPr>
        <w:ind w:firstLine="284"/>
        <w:jc w:val="both"/>
        <w:rPr>
          <w:rFonts w:ascii="Arial" w:hAnsi="Arial" w:cs="Arial"/>
          <w:sz w:val="18"/>
        </w:rPr>
      </w:pPr>
      <w:r>
        <w:rPr>
          <w:rFonts w:ascii="Arial" w:hAnsi="Arial" w:cs="Arial"/>
          <w:sz w:val="18"/>
        </w:rPr>
        <w:t>With:</w:t>
      </w:r>
    </w:p>
    <w:p>
      <w:pPr>
        <w:pStyle w:val="34"/>
        <w:numPr>
          <w:ilvl w:val="0"/>
          <w:numId w:val="3"/>
        </w:numPr>
        <w:overflowPunct/>
        <w:autoSpaceDE/>
        <w:autoSpaceDN/>
        <w:adjustRightInd/>
        <w:spacing w:after="160" w:line="259" w:lineRule="auto"/>
        <w:ind w:left="1785" w:leftChars="85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ctrlPr>
              <w:rPr>
                <w:rFonts w:ascii="Cambria Math" w:hAnsi="Cambria Math" w:cs="Arial"/>
                <w:i/>
                <w:sz w:val="18"/>
              </w:rPr>
            </m:ctrlPr>
          </m:e>
          <m:sub>
            <m:r>
              <w:rPr>
                <w:rFonts w:ascii="Cambria Math" w:hAnsi="Cambria Math" w:cs="Arial"/>
                <w:sz w:val="18"/>
              </w:rPr>
              <m:t>i</m:t>
            </m:r>
            <m:ctrlPr>
              <w:rPr>
                <w:rFonts w:ascii="Cambria Math" w:hAnsi="Cambria Math" w:cs="Arial"/>
                <w:i/>
                <w:sz w:val="18"/>
              </w:rPr>
            </m:ctrlPr>
          </m:sub>
        </m:sSub>
        <m:d>
          <m:dPr>
            <m:ctrlPr>
              <w:rPr>
                <w:rFonts w:ascii="Cambria Math" w:hAnsi="Cambria Math" w:cs="Arial"/>
                <w:i/>
                <w:sz w:val="18"/>
              </w:rPr>
            </m:ctrlPr>
          </m:dPr>
          <m:e>
            <m:r>
              <w:rPr>
                <w:rFonts w:ascii="Cambria Math" w:hAnsi="Cambria Math" w:cs="Arial"/>
                <w:sz w:val="18"/>
              </w:rPr>
              <m:t>x</m:t>
            </m:r>
            <m:ctrlPr>
              <w:rPr>
                <w:rFonts w:ascii="Cambria Math" w:hAnsi="Cambria Math" w:cs="Arial"/>
                <w:i/>
                <w:sz w:val="18"/>
              </w:rPr>
            </m:ctrlPr>
          </m:e>
        </m:d>
      </m:oMath>
      <w:r>
        <w:rPr>
          <w:rFonts w:ascii="Arial" w:hAnsi="Arial" w:cs="Arial" w:eastAsiaTheme="minorEastAsia"/>
          <w:sz w:val="18"/>
        </w:rPr>
        <w:t xml:space="preserve">  is the Bessel function of first type and </w:t>
      </w:r>
      <m:oMath>
        <m:sSup>
          <m:sSupPr>
            <m:ctrlPr>
              <w:rPr>
                <w:rFonts w:ascii="Cambria Math" w:hAnsi="Cambria Math" w:cs="Arial" w:eastAsiaTheme="minorEastAsia"/>
                <w:i/>
                <w:sz w:val="18"/>
              </w:rPr>
            </m:ctrlPr>
          </m:sSupPr>
          <m:e>
            <m:r>
              <w:rPr>
                <w:rFonts w:ascii="Cambria Math" w:hAnsi="Cambria Math" w:cs="Arial" w:eastAsiaTheme="minorEastAsia"/>
                <w:sz w:val="18"/>
              </w:rPr>
              <m:t>i</m:t>
            </m:r>
            <m:ctrlPr>
              <w:rPr>
                <w:rFonts w:ascii="Cambria Math" w:hAnsi="Cambria Math" w:cs="Arial" w:eastAsiaTheme="minorEastAsia"/>
                <w:i/>
                <w:sz w:val="18"/>
              </w:rPr>
            </m:ctrlPr>
          </m:e>
          <m:sup>
            <m:r>
              <w:rPr>
                <w:rFonts w:ascii="Cambria Math" w:hAnsi="Cambria Math" w:cs="Arial" w:eastAsiaTheme="minorEastAsia"/>
                <w:sz w:val="18"/>
              </w:rPr>
              <m:t>th</m:t>
            </m:r>
            <m:ctrlPr>
              <w:rPr>
                <w:rFonts w:ascii="Cambria Math" w:hAnsi="Cambria Math" w:cs="Arial" w:eastAsiaTheme="minorEastAsia"/>
                <w:i/>
                <w:sz w:val="18"/>
              </w:rPr>
            </m:ctrlPr>
          </m:sup>
        </m:sSup>
      </m:oMath>
      <w:r>
        <w:rPr>
          <w:rFonts w:ascii="Arial" w:hAnsi="Arial" w:cs="Arial" w:eastAsiaTheme="minorEastAsia"/>
          <w:sz w:val="18"/>
        </w:rPr>
        <w:t xml:space="preserve"> order with argument </w:t>
      </w:r>
      <w:r>
        <w:rPr>
          <w:rFonts w:ascii="Arial" w:hAnsi="Arial" w:cs="Arial" w:eastAsiaTheme="minorEastAsia"/>
          <w:i/>
          <w:sz w:val="18"/>
        </w:rPr>
        <w:t>x</w:t>
      </w:r>
    </w:p>
    <w:p>
      <w:pPr>
        <w:pStyle w:val="34"/>
        <w:numPr>
          <w:ilvl w:val="0"/>
          <w:numId w:val="3"/>
        </w:numPr>
        <w:overflowPunct/>
        <w:autoSpaceDE/>
        <w:autoSpaceDN/>
        <w:adjustRightInd/>
        <w:spacing w:after="160" w:line="259" w:lineRule="auto"/>
        <w:ind w:left="1785" w:leftChars="85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ctrlPr>
              <w:rPr>
                <w:rFonts w:ascii="Cambria Math" w:hAnsi="Cambria Math" w:cs="Arial"/>
                <w:i/>
                <w:sz w:val="18"/>
              </w:rPr>
            </m:ctrlPr>
          </m:e>
        </m:d>
      </m:oMath>
      <w:r>
        <w:rPr>
          <w:rFonts w:ascii="Arial" w:hAnsi="Arial" w:cs="Arial" w:eastAsiaTheme="minorEastAsia"/>
          <w:sz w:val="18"/>
        </w:rPr>
        <w:t xml:space="preserve"> spherical coordinates system,</w:t>
      </w:r>
    </w:p>
    <w:p>
      <w:pPr>
        <w:pStyle w:val="34"/>
        <w:numPr>
          <w:ilvl w:val="0"/>
          <w:numId w:val="3"/>
        </w:numPr>
        <w:overflowPunct/>
        <w:autoSpaceDE/>
        <w:autoSpaceDN/>
        <w:adjustRightInd/>
        <w:spacing w:after="160" w:line="259" w:lineRule="auto"/>
        <w:ind w:left="1785" w:leftChars="850" w:firstLineChars="0"/>
        <w:contextualSpacing/>
        <w:jc w:val="both"/>
        <w:textAlignment w:val="auto"/>
        <w:rPr>
          <w:rFonts w:ascii="Arial" w:hAnsi="Arial" w:cs="Arial"/>
          <w:sz w:val="18"/>
        </w:rPr>
      </w:pPr>
      <m:oMath>
        <m:r>
          <w:rPr>
            <w:rFonts w:ascii="Cambria Math" w:hAnsi="Cambria Math" w:cs="Arial" w:eastAsiaTheme="minorEastAsia"/>
            <w:sz w:val="18"/>
          </w:rPr>
          <m:t>u=</m:t>
        </m:r>
        <m:f>
          <m:fPr>
            <m:ctrlPr>
              <w:rPr>
                <w:rFonts w:ascii="Cambria Math" w:hAnsi="Cambria Math" w:cs="Arial" w:eastAsiaTheme="minorEastAsia"/>
                <w:i/>
                <w:sz w:val="18"/>
              </w:rPr>
            </m:ctrlPr>
          </m:fPr>
          <m:num>
            <m:r>
              <w:rPr>
                <w:rFonts w:ascii="Cambria Math" w:hAnsi="Cambria Math" w:cs="Arial" w:eastAsiaTheme="minorEastAsia"/>
                <w:sz w:val="18"/>
              </w:rPr>
              <m:t>πD</m:t>
            </m:r>
            <m:ctrlPr>
              <w:rPr>
                <w:rFonts w:ascii="Cambria Math" w:hAnsi="Cambria Math" w:cs="Arial" w:eastAsiaTheme="minorEastAsia"/>
                <w:i/>
                <w:sz w:val="18"/>
              </w:rPr>
            </m:ctrlPr>
          </m:num>
          <m:den>
            <m:r>
              <w:rPr>
                <w:rFonts w:ascii="Cambria Math" w:hAnsi="Cambria Math" w:cs="Arial" w:eastAsiaTheme="minorEastAsia"/>
                <w:sz w:val="18"/>
              </w:rPr>
              <m:t>λ</m:t>
            </m:r>
            <m:ctrlPr>
              <w:rPr>
                <w:rFonts w:ascii="Cambria Math" w:hAnsi="Cambria Math" w:cs="Arial" w:eastAsiaTheme="minorEastAsia"/>
                <w:i/>
                <w:sz w:val="18"/>
              </w:rPr>
            </m:ctrlPr>
          </m:den>
        </m:f>
        <m:r>
          <m:rPr>
            <m:sty m:val="p"/>
          </m:rPr>
          <w:rPr>
            <w:rFonts w:ascii="Cambria Math" w:hAnsi="Cambria Math" w:cs="Arial" w:eastAsiaTheme="minorEastAsia"/>
            <w:sz w:val="18"/>
          </w:rPr>
          <m:t>sin⁡</m:t>
        </m:r>
        <m:r>
          <w:rPr>
            <w:rFonts w:ascii="Cambria Math" w:hAnsi="Cambria Math" w:cs="Arial" w:eastAsiaTheme="minorEastAsia"/>
            <w:sz w:val="18"/>
          </w:rPr>
          <m:t>(θ)</m:t>
        </m:r>
      </m:oMath>
    </w:p>
    <w:p>
      <w:pPr>
        <w:pStyle w:val="34"/>
        <w:numPr>
          <w:ilvl w:val="0"/>
          <w:numId w:val="3"/>
        </w:numPr>
        <w:overflowPunct/>
        <w:autoSpaceDE/>
        <w:autoSpaceDN/>
        <w:adjustRightInd/>
        <w:spacing w:after="160" w:line="259" w:lineRule="auto"/>
        <w:ind w:left="1785" w:leftChars="850" w:firstLineChars="0"/>
        <w:contextualSpacing/>
        <w:jc w:val="both"/>
        <w:textAlignment w:val="auto"/>
        <w:rPr>
          <w:rFonts w:ascii="Arial" w:hAnsi="Arial" w:cs="Arial"/>
          <w:sz w:val="18"/>
        </w:rPr>
      </w:pPr>
      <w:r>
        <w:rPr>
          <w:rFonts w:ascii="Arial" w:hAnsi="Arial" w:cs="Arial" w:eastAsiaTheme="minorEastAsia"/>
          <w:i/>
          <w:sz w:val="18"/>
        </w:rPr>
        <w:t xml:space="preserve">D </w:t>
      </w:r>
      <w:r>
        <w:rPr>
          <w:rFonts w:ascii="Arial" w:hAnsi="Arial" w:cs="Arial"/>
          <w:sz w:val="18"/>
        </w:rPr>
        <w:t>: Antenna diameter</w:t>
      </w:r>
    </w:p>
    <w:p>
      <w:pPr>
        <w:pStyle w:val="34"/>
        <w:numPr>
          <w:ilvl w:val="0"/>
          <w:numId w:val="3"/>
        </w:numPr>
        <w:overflowPunct/>
        <w:autoSpaceDE/>
        <w:autoSpaceDN/>
        <w:adjustRightInd/>
        <w:spacing w:after="160" w:line="259" w:lineRule="auto"/>
        <w:ind w:left="1785" w:leftChars="85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p>
      <w:pPr>
        <w:pBdr>
          <w:top w:val="none" w:color="auto" w:sz="0" w:space="0"/>
          <w:left w:val="none" w:color="auto" w:sz="0" w:space="0"/>
          <w:bottom w:val="none" w:color="auto" w:sz="0" w:space="0"/>
          <w:right w:val="none" w:color="auto" w:sz="0" w:space="0"/>
          <w:between w:val="none" w:color="auto" w:sz="0" w:space="0"/>
        </w:pBdr>
        <w:tabs>
          <w:tab w:val="left" w:pos="2127"/>
        </w:tabs>
        <w:spacing w:after="0"/>
        <w:outlineLvl w:val="9"/>
        <w:rPr>
          <w:rFonts w:ascii="Arial" w:hAnsi="Arial" w:cs="Arial"/>
          <w:sz w:val="18"/>
        </w:rPr>
      </w:pPr>
      <w:r>
        <w:rPr>
          <w:rFonts w:hint="eastAsia" w:cs="Times New Roman"/>
          <w:b/>
          <w:bCs/>
          <w:kern w:val="2"/>
          <w:sz w:val="21"/>
          <w:szCs w:val="22"/>
          <w:highlight w:val="none"/>
          <w:lang w:val="en-US" w:eastAsia="zh-CN" w:bidi="ar-SA"/>
        </w:rPr>
        <w:t>Proposal 3</w:t>
      </w:r>
      <w:r>
        <w:rPr>
          <w:rFonts w:hint="eastAsia" w:cs="Times New Roman"/>
          <w:kern w:val="2"/>
          <w:sz w:val="21"/>
          <w:szCs w:val="22"/>
          <w:highlight w:val="none"/>
          <w:lang w:val="en-US" w:eastAsia="zh-CN" w:bidi="ar-SA"/>
        </w:rPr>
        <w:t>: for antenna pattern calculation for NTN VSAT and NTN SAN, propose to follow the option 2.</w:t>
      </w:r>
    </w:p>
    <w:p>
      <w:pPr>
        <w:ind w:left="576"/>
        <w:jc w:val="center"/>
        <w:rPr>
          <w:lang w:eastAsia="zh-CN"/>
        </w:rPr>
      </w:pPr>
      <w:r>
        <w:rPr>
          <w:highlight w:val="cyan"/>
          <w:lang w:val="en-US" w:eastAsia="zh-CN"/>
        </w:rPr>
        <w:t xml:space="preserve">Option 2: </w:t>
      </w:r>
      <m:oMath>
        <m:r>
          <w:rPr>
            <w:rFonts w:ascii="Cambria Math" w:hAnsi="Cambria Math"/>
            <w:highlight w:val="cyan"/>
          </w:rPr>
          <m:t>F</m:t>
        </m:r>
        <m:sSub>
          <m:sSubPr>
            <m:ctrlPr>
              <w:rPr>
                <w:rFonts w:ascii="Cambria Math" w:hAnsi="Cambria Math"/>
                <w:i/>
                <w:highlight w:val="cyan"/>
              </w:rPr>
            </m:ctrlPr>
          </m:sSubPr>
          <m:e>
            <m:d>
              <m:dPr>
                <m:ctrlPr>
                  <w:rPr>
                    <w:rFonts w:ascii="Cambria Math" w:hAnsi="Cambria Math"/>
                    <w:i/>
                    <w:highlight w:val="cyan"/>
                  </w:rPr>
                </m:ctrlPr>
              </m:dPr>
              <m:e>
                <m:r>
                  <w:rPr>
                    <w:rFonts w:ascii="Cambria Math" w:hAnsi="Cambria Math"/>
                    <w:highlight w:val="cyan"/>
                  </w:rPr>
                  <m:t>θ</m:t>
                </m:r>
                <m:ctrlPr>
                  <w:rPr>
                    <w:rFonts w:ascii="Cambria Math" w:hAnsi="Cambria Math"/>
                    <w:i/>
                    <w:highlight w:val="cyan"/>
                  </w:rPr>
                </m:ctrlPr>
              </m:e>
            </m:d>
            <m:ctrlPr>
              <w:rPr>
                <w:rFonts w:ascii="Cambria Math" w:hAnsi="Cambria Math"/>
                <w:i/>
                <w:highlight w:val="cyan"/>
              </w:rPr>
            </m:ctrlPr>
          </m:e>
          <m:sub>
            <m:r>
              <w:rPr>
                <w:rFonts w:ascii="Cambria Math" w:hAnsi="Cambria Math"/>
                <w:highlight w:val="cyan"/>
              </w:rPr>
              <m:t>dB</m:t>
            </m:r>
            <m:ctrlPr>
              <w:rPr>
                <w:rFonts w:ascii="Cambria Math" w:hAnsi="Cambria Math"/>
                <w:i/>
                <w:highlight w:val="cyan"/>
              </w:rPr>
            </m:ctrlPr>
          </m:sub>
        </m:sSub>
        <m:r>
          <w:rPr>
            <w:rFonts w:ascii="Cambria Math" w:hAnsi="Cambria Math"/>
            <w:highlight w:val="cyan"/>
          </w:rPr>
          <m:t>=10*log10(</m:t>
        </m:r>
        <m:sSup>
          <m:sSupPr>
            <m:ctrlPr>
              <w:rPr>
                <w:rFonts w:ascii="Cambria Math" w:hAnsi="Cambria Math"/>
                <w:i/>
                <w:highlight w:val="cyan"/>
              </w:rPr>
            </m:ctrlPr>
          </m:sSupPr>
          <m:e>
            <m:d>
              <m:dPr>
                <m:ctrlPr>
                  <w:rPr>
                    <w:rFonts w:ascii="Cambria Math" w:hAnsi="Cambria Math"/>
                    <w:i/>
                    <w:highlight w:val="cyan"/>
                  </w:rPr>
                </m:ctrlPr>
              </m:dPr>
              <m:e>
                <m:d>
                  <m:dPr>
                    <m:begChr m:val="|"/>
                    <m:endChr m:val="|"/>
                    <m:ctrlPr>
                      <w:rPr>
                        <w:rFonts w:ascii="Cambria Math" w:hAnsi="Cambria Math"/>
                        <w:i/>
                        <w:highlight w:val="cyan"/>
                      </w:rPr>
                    </m:ctrlPr>
                  </m:dPr>
                  <m:e>
                    <m:f>
                      <m:fPr>
                        <m:ctrlPr>
                          <w:rPr>
                            <w:rFonts w:ascii="Cambria Math" w:hAnsi="Cambria Math"/>
                            <w:i/>
                            <w:highlight w:val="cyan"/>
                          </w:rPr>
                        </m:ctrlPr>
                      </m:fPr>
                      <m:num>
                        <m:r>
                          <w:rPr>
                            <w:rFonts w:ascii="Cambria Math" w:hAnsi="Cambria Math"/>
                            <w:highlight w:val="cyan"/>
                          </w:rPr>
                          <m:t xml:space="preserve">2 </m:t>
                        </m:r>
                        <m:sSub>
                          <m:sSubPr>
                            <m:ctrlPr>
                              <w:rPr>
                                <w:rFonts w:ascii="Cambria Math" w:hAnsi="Cambria Math"/>
                                <w:i/>
                                <w:highlight w:val="cyan"/>
                              </w:rPr>
                            </m:ctrlPr>
                          </m:sSubPr>
                          <m:e>
                            <m:r>
                              <w:rPr>
                                <w:rFonts w:ascii="Cambria Math" w:hAnsi="Cambria Math"/>
                                <w:highlight w:val="cyan"/>
                              </w:rPr>
                              <m:t>J</m:t>
                            </m:r>
                            <m:ctrlPr>
                              <w:rPr>
                                <w:rFonts w:ascii="Cambria Math" w:hAnsi="Cambria Math"/>
                                <w:i/>
                                <w:highlight w:val="cyan"/>
                              </w:rPr>
                            </m:ctrlPr>
                          </m:e>
                          <m:sub>
                            <m:r>
                              <w:rPr>
                                <w:rFonts w:ascii="Cambria Math" w:hAnsi="Cambria Math"/>
                                <w:highlight w:val="cyan"/>
                              </w:rPr>
                              <m:t>1</m:t>
                            </m:r>
                            <m:ctrlPr>
                              <w:rPr>
                                <w:rFonts w:ascii="Cambria Math" w:hAnsi="Cambria Math"/>
                                <w:i/>
                                <w:highlight w:val="cyan"/>
                              </w:rPr>
                            </m:ctrlPr>
                          </m:sub>
                        </m:sSub>
                        <m:d>
                          <m:dPr>
                            <m:ctrlPr>
                              <w:rPr>
                                <w:rFonts w:ascii="Cambria Math" w:hAnsi="Cambria Math"/>
                                <w:i/>
                                <w:highlight w:val="cyan"/>
                              </w:rPr>
                            </m:ctrlPr>
                          </m:dPr>
                          <m:e>
                            <m:r>
                              <w:rPr>
                                <w:rFonts w:ascii="Cambria Math" w:hAnsi="Cambria Math"/>
                                <w:highlight w:val="cyan"/>
                              </w:rPr>
                              <m:t>u</m:t>
                            </m:r>
                            <m:ctrlPr>
                              <w:rPr>
                                <w:rFonts w:ascii="Cambria Math" w:hAnsi="Cambria Math"/>
                                <w:i/>
                                <w:highlight w:val="cyan"/>
                              </w:rPr>
                            </m:ctrlPr>
                          </m:e>
                        </m:d>
                        <m:ctrlPr>
                          <w:rPr>
                            <w:rFonts w:ascii="Cambria Math" w:hAnsi="Cambria Math"/>
                            <w:i/>
                            <w:highlight w:val="cyan"/>
                          </w:rPr>
                        </m:ctrlPr>
                      </m:num>
                      <m:den>
                        <m:r>
                          <w:rPr>
                            <w:rFonts w:ascii="Cambria Math" w:hAnsi="Cambria Math"/>
                            <w:highlight w:val="cyan"/>
                          </w:rPr>
                          <m:t>u</m:t>
                        </m:r>
                        <m:ctrlPr>
                          <w:rPr>
                            <w:rFonts w:ascii="Cambria Math" w:hAnsi="Cambria Math"/>
                            <w:i/>
                            <w:highlight w:val="cyan"/>
                          </w:rPr>
                        </m:ctrlPr>
                      </m:den>
                    </m:f>
                    <m:ctrlPr>
                      <w:rPr>
                        <w:rFonts w:ascii="Cambria Math" w:hAnsi="Cambria Math"/>
                        <w:i/>
                        <w:highlight w:val="cyan"/>
                      </w:rPr>
                    </m:ctrlPr>
                  </m:e>
                </m:d>
                <m:ctrlPr>
                  <w:rPr>
                    <w:rFonts w:ascii="Cambria Math" w:hAnsi="Cambria Math"/>
                    <w:i/>
                    <w:highlight w:val="cyan"/>
                  </w:rPr>
                </m:ctrlPr>
              </m:e>
            </m:d>
            <m:ctrlPr>
              <w:rPr>
                <w:rFonts w:ascii="Cambria Math" w:hAnsi="Cambria Math"/>
                <w:i/>
                <w:highlight w:val="cyan"/>
              </w:rPr>
            </m:ctrlPr>
          </m:e>
          <m:sup>
            <m:r>
              <w:rPr>
                <w:rFonts w:ascii="Cambria Math" w:hAnsi="Cambria Math"/>
                <w:highlight w:val="cyan"/>
              </w:rPr>
              <m:t>2</m:t>
            </m:r>
            <m:ctrlPr>
              <w:rPr>
                <w:rFonts w:ascii="Cambria Math" w:hAnsi="Cambria Math"/>
                <w:i/>
                <w:highlight w:val="cyan"/>
              </w:rPr>
            </m:ctrlPr>
          </m:sup>
        </m:sSup>
        <m:r>
          <w:rPr>
            <w:rFonts w:ascii="Cambria Math" w:hAnsi="Cambria Math"/>
            <w:highlight w:val="cyan"/>
          </w:rPr>
          <m:t>)</m:t>
        </m:r>
      </m:oMath>
    </w:p>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For the ISD in the following table, it was agreed as 300m, however for all other coexistence study in FR2, its default assumption should be 200m instead of 300m.</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b/>
          <w:bCs/>
          <w:kern w:val="2"/>
          <w:sz w:val="21"/>
          <w:szCs w:val="22"/>
          <w:highlight w:val="none"/>
          <w:lang w:val="en-US" w:eastAsia="zh-CN" w:bidi="ar-SA"/>
        </w:rPr>
        <w:t>Proposal 4:</w:t>
      </w:r>
      <w:r>
        <w:rPr>
          <w:rFonts w:hint="eastAsia" w:cs="Times New Roman"/>
          <w:kern w:val="2"/>
          <w:sz w:val="21"/>
          <w:szCs w:val="22"/>
          <w:highlight w:val="none"/>
          <w:lang w:val="en-US" w:eastAsia="zh-CN" w:bidi="ar-SA"/>
        </w:rPr>
        <w:t xml:space="preserve"> to update the ISD in FR2 as 200m</w:t>
      </w:r>
    </w:p>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tbl>
      <w:tblPr>
        <w:tblStyle w:val="24"/>
        <w:tblW w:w="2628"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2491"/>
        <w:gridCol w:w="274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8"/>
                <w:szCs w:val="15"/>
              </w:rPr>
            </w:pPr>
          </w:p>
        </w:tc>
        <w:tc>
          <w:tcPr>
            <w:tcW w:w="2621" w:type="pct"/>
            <w:vAlign w:val="center"/>
          </w:tcPr>
          <w:p>
            <w:pPr>
              <w:snapToGrid w:val="0"/>
              <w:spacing w:after="0"/>
              <w:jc w:val="center"/>
              <w:rPr>
                <w:rFonts w:eastAsiaTheme="minorEastAsia"/>
                <w:sz w:val="18"/>
                <w:szCs w:val="15"/>
                <w:lang w:eastAsia="zh-C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8"/>
                <w:szCs w:val="15"/>
              </w:rPr>
            </w:pPr>
            <w:r>
              <w:rPr>
                <w:rFonts w:eastAsiaTheme="minorEastAsia"/>
                <w:sz w:val="18"/>
                <w:szCs w:val="15"/>
              </w:rPr>
              <w:t>Carrier frequency in GHz</w:t>
            </w:r>
          </w:p>
        </w:tc>
        <w:tc>
          <w:tcPr>
            <w:tcW w:w="2621" w:type="pct"/>
            <w:vAlign w:val="center"/>
          </w:tcPr>
          <w:p>
            <w:pPr>
              <w:snapToGrid w:val="0"/>
              <w:spacing w:after="0"/>
              <w:jc w:val="center"/>
              <w:rPr>
                <w:rFonts w:eastAsiaTheme="minorEastAsia"/>
                <w:sz w:val="18"/>
                <w:szCs w:val="15"/>
                <w:lang w:eastAsia="zh-CN"/>
              </w:rPr>
            </w:pPr>
            <w:r>
              <w:rPr>
                <w:rFonts w:hint="eastAsia" w:eastAsiaTheme="minorEastAsia"/>
                <w:sz w:val="18"/>
                <w:szCs w:val="15"/>
                <w:lang w:eastAsia="zh-CN"/>
              </w:rPr>
              <w:t>2</w:t>
            </w:r>
            <w:r>
              <w:rPr>
                <w:rFonts w:eastAsiaTheme="minorEastAsia"/>
                <w:sz w:val="18"/>
                <w:szCs w:val="15"/>
                <w:lang w:eastAsia="zh-CN"/>
              </w:rPr>
              <w:t>7</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8"/>
                <w:szCs w:val="15"/>
              </w:rPr>
            </w:pPr>
            <w:r>
              <w:rPr>
                <w:rFonts w:eastAsiaTheme="minorEastAsia"/>
                <w:sz w:val="18"/>
                <w:szCs w:val="15"/>
              </w:rPr>
              <w:t>Size of each nominal channel BW in MHz</w:t>
            </w:r>
          </w:p>
        </w:tc>
        <w:tc>
          <w:tcPr>
            <w:tcW w:w="2621" w:type="pct"/>
          </w:tcPr>
          <w:p>
            <w:pPr>
              <w:snapToGrid w:val="0"/>
              <w:spacing w:after="0"/>
              <w:jc w:val="center"/>
              <w:rPr>
                <w:rFonts w:eastAsiaTheme="minorEastAsia"/>
                <w:sz w:val="18"/>
                <w:szCs w:val="15"/>
                <w:highlight w:val="yellow"/>
                <w:lang w:eastAsia="zh-CN"/>
              </w:rPr>
            </w:pPr>
            <w:r>
              <w:rPr>
                <w:rFonts w:eastAsiaTheme="minorEastAsia"/>
                <w:sz w:val="18"/>
                <w:szCs w:val="15"/>
              </w:rPr>
              <w:t>200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8"/>
                <w:szCs w:val="15"/>
              </w:rPr>
            </w:pPr>
            <w:r>
              <w:rPr>
                <w:rFonts w:eastAsiaTheme="minorEastAsia"/>
                <w:sz w:val="18"/>
                <w:szCs w:val="15"/>
              </w:rPr>
              <w:t>Transmission bandwidth in MHz</w:t>
            </w:r>
          </w:p>
        </w:tc>
        <w:tc>
          <w:tcPr>
            <w:tcW w:w="2621" w:type="pct"/>
          </w:tcPr>
          <w:p>
            <w:pPr>
              <w:snapToGrid w:val="0"/>
              <w:spacing w:after="0"/>
              <w:jc w:val="center"/>
              <w:rPr>
                <w:rFonts w:eastAsiaTheme="minorEastAsia"/>
                <w:sz w:val="18"/>
                <w:szCs w:val="15"/>
                <w:highlight w:val="yellow"/>
              </w:rPr>
            </w:pPr>
            <w:r>
              <w:rPr>
                <w:rFonts w:eastAsiaTheme="minorEastAsia"/>
                <w:sz w:val="18"/>
                <w:szCs w:val="15"/>
              </w:rPr>
              <w:t>190.08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8"/>
                <w:szCs w:val="15"/>
              </w:rPr>
            </w:pPr>
            <w:r>
              <w:rPr>
                <w:rFonts w:eastAsiaTheme="minorEastAsia"/>
                <w:sz w:val="18"/>
                <w:szCs w:val="15"/>
              </w:rPr>
              <w:t>Environment</w:t>
            </w:r>
          </w:p>
        </w:tc>
        <w:tc>
          <w:tcPr>
            <w:tcW w:w="2621" w:type="pct"/>
            <w:vAlign w:val="center"/>
          </w:tcPr>
          <w:p>
            <w:pPr>
              <w:snapToGrid w:val="0"/>
              <w:spacing w:after="0"/>
              <w:jc w:val="center"/>
              <w:rPr>
                <w:rFonts w:eastAsiaTheme="minorEastAsia"/>
                <w:sz w:val="18"/>
                <w:szCs w:val="15"/>
                <w:lang w:eastAsia="zh-CN"/>
              </w:rPr>
            </w:pPr>
            <w:r>
              <w:rPr>
                <w:sz w:val="18"/>
                <w:szCs w:val="18"/>
                <w:lang w:eastAsia="ja-JP"/>
              </w:rPr>
              <w:t>Urban macro</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8"/>
                <w:szCs w:val="15"/>
              </w:rPr>
            </w:pPr>
            <w:r>
              <w:rPr>
                <w:rFonts w:eastAsiaTheme="minorEastAsia"/>
                <w:sz w:val="18"/>
                <w:szCs w:val="15"/>
              </w:rPr>
              <w:t>Network layout</w:t>
            </w:r>
          </w:p>
        </w:tc>
        <w:tc>
          <w:tcPr>
            <w:tcW w:w="2621" w:type="pct"/>
            <w:vAlign w:val="center"/>
          </w:tcPr>
          <w:p>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8"/>
                <w:szCs w:val="15"/>
                <w:lang w:val="sv-SE"/>
              </w:rPr>
            </w:pPr>
            <w:r>
              <w:rPr>
                <w:rFonts w:eastAsiaTheme="minorEastAsia"/>
                <w:sz w:val="18"/>
                <w:szCs w:val="15"/>
                <w:lang w:val="sv-SE"/>
              </w:rPr>
              <w:t>Inter-site distance in meter</w:t>
            </w:r>
          </w:p>
        </w:tc>
        <w:tc>
          <w:tcPr>
            <w:tcW w:w="2621" w:type="pct"/>
            <w:vAlign w:val="center"/>
          </w:tcPr>
          <w:p>
            <w:pPr>
              <w:snapToGrid w:val="0"/>
              <w:spacing w:after="0"/>
              <w:jc w:val="center"/>
              <w:rPr>
                <w:rFonts w:eastAsiaTheme="minorEastAsia"/>
                <w:sz w:val="18"/>
                <w:szCs w:val="15"/>
              </w:rPr>
            </w:pPr>
            <w:r>
              <w:rPr>
                <w:rFonts w:hint="eastAsia" w:eastAsiaTheme="minorEastAsia"/>
                <w:sz w:val="18"/>
                <w:szCs w:val="18"/>
                <w:lang w:val="en-US" w:eastAsia="zh-CN"/>
              </w:rPr>
              <w:t>2</w:t>
            </w:r>
            <w:r>
              <w:rPr>
                <w:rFonts w:eastAsiaTheme="minorEastAsia"/>
                <w:sz w:val="18"/>
                <w:szCs w:val="18"/>
              </w:rPr>
              <w:t>00m</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6"/>
                <w:szCs w:val="18"/>
                <w:lang w:val="sv-SE" w:eastAsia="zh-CN"/>
              </w:rPr>
            </w:pPr>
            <w:r>
              <w:rPr>
                <w:rFonts w:hint="eastAsia" w:eastAsiaTheme="minorEastAsia"/>
                <w:sz w:val="16"/>
                <w:szCs w:val="18"/>
                <w:lang w:val="sv-SE" w:eastAsia="zh-CN"/>
              </w:rPr>
              <w:t>U</w:t>
            </w:r>
            <w:r>
              <w:rPr>
                <w:rFonts w:eastAsiaTheme="minorEastAsia"/>
                <w:sz w:val="16"/>
                <w:szCs w:val="18"/>
                <w:lang w:val="sv-SE" w:eastAsia="zh-CN"/>
              </w:rPr>
              <w:t>E number per cell</w:t>
            </w:r>
          </w:p>
        </w:tc>
        <w:tc>
          <w:tcPr>
            <w:tcW w:w="2621" w:type="pct"/>
          </w:tcPr>
          <w:p>
            <w:pPr>
              <w:snapToGrid w:val="0"/>
              <w:spacing w:after="0"/>
              <w:jc w:val="center"/>
              <w:rPr>
                <w:rFonts w:eastAsiaTheme="minorEastAsia"/>
                <w:sz w:val="18"/>
                <w:szCs w:val="18"/>
                <w:lang w:eastAsia="zh-CN"/>
              </w:rPr>
            </w:pPr>
            <w:r>
              <w:rPr>
                <w:rFonts w:eastAsiaTheme="minorEastAsia"/>
                <w:sz w:val="16"/>
                <w:szCs w:val="18"/>
                <w:lang w:val="en-US"/>
              </w:rPr>
              <w:t>S</w:t>
            </w:r>
            <w:r>
              <w:rPr>
                <w:rFonts w:hint="eastAsia" w:eastAsiaTheme="minorEastAsia"/>
                <w:sz w:val="16"/>
                <w:szCs w:val="18"/>
                <w:lang w:val="en-US"/>
              </w:rPr>
              <w:t>ame as the number of BS beam</w:t>
            </w:r>
          </w:p>
        </w:tc>
      </w:tr>
    </w:tbl>
    <w:p>
      <w:pPr>
        <w:keepNext/>
        <w:keepLines/>
        <w:pageBreakBefore w:val="0"/>
        <w:widowControl/>
        <w:suppressLineNumbers w:val="0"/>
        <w:tabs>
          <w:tab w:val="left" w:pos="1762"/>
        </w:tabs>
        <w:kinsoku/>
        <w:wordWrap/>
        <w:topLinePunct w:val="0"/>
        <w:bidi w:val="0"/>
        <w:ind w:firstLine="0" w:firstLineChars="0"/>
        <w:jc w:val="both"/>
        <w:rPr>
          <w:rFonts w:hint="eastAsia"/>
          <w:b/>
          <w:bCs/>
          <w:i w:val="0"/>
          <w:iCs w:val="0"/>
          <w:color w:val="auto"/>
          <w:u w:val="none"/>
          <w:lang w:val="en-US" w:eastAsia="zh-CN"/>
        </w:rPr>
      </w:pPr>
      <w:r>
        <w:rPr>
          <w:rFonts w:hint="eastAsia"/>
          <w:b/>
          <w:bCs/>
          <w:i w:val="0"/>
          <w:iCs w:val="0"/>
          <w:color w:val="auto"/>
          <w:u w:val="none"/>
          <w:lang w:val="en-US" w:eastAsia="zh-CN"/>
        </w:rPr>
        <w:tab/>
      </w:r>
    </w:p>
    <w:p>
      <w:pPr>
        <w:widowControl w:val="0"/>
        <w:jc w:val="both"/>
        <w:rPr>
          <w:rFonts w:hint="eastAsia"/>
          <w:kern w:val="2"/>
          <w:szCs w:val="21"/>
          <w:lang w:val="en-US" w:eastAsia="zh-CN" w:bidi="ar"/>
        </w:rPr>
      </w:pPr>
      <w:r>
        <w:rPr>
          <w:rFonts w:hint="eastAsia"/>
          <w:kern w:val="2"/>
          <w:szCs w:val="21"/>
          <w:lang w:val="en-US" w:eastAsia="zh-CN" w:bidi="ar"/>
        </w:rPr>
        <w:t>For the uplink power control of NTN UE or TN UE, we propose to follow the same approach as agreed for SBFD coexistence study.</w:t>
      </w:r>
    </w:p>
    <w:p>
      <w:pPr>
        <w:widowControl w:val="0"/>
        <w:jc w:val="both"/>
        <w:rPr>
          <w:rFonts w:hint="default"/>
          <w:kern w:val="2"/>
          <w:szCs w:val="21"/>
          <w:lang w:val="en-US" w:eastAsia="zh-CN" w:bidi="ar"/>
        </w:rPr>
      </w:pPr>
      <w:r>
        <w:rPr>
          <w:rFonts w:hint="eastAsia"/>
          <w:b/>
          <w:bCs/>
          <w:kern w:val="2"/>
          <w:szCs w:val="21"/>
          <w:lang w:val="en-US" w:eastAsia="zh-CN" w:bidi="ar"/>
        </w:rPr>
        <w:t>Proposal 5</w:t>
      </w:r>
      <w:r>
        <w:rPr>
          <w:rFonts w:hint="eastAsia"/>
          <w:kern w:val="2"/>
          <w:szCs w:val="21"/>
          <w:lang w:val="en-US" w:eastAsia="zh-CN" w:bidi="ar"/>
        </w:rPr>
        <w:t>: for the uplink power control of TN and NTN UE as following:</w:t>
      </w:r>
    </w:p>
    <w:p>
      <w:pPr>
        <w:widowControl w:val="0"/>
        <w:jc w:val="both"/>
        <w:rPr>
          <w:szCs w:val="21"/>
          <w:lang w:val="en-US"/>
        </w:rPr>
      </w:pPr>
      <w:r>
        <w:rPr>
          <w:kern w:val="2"/>
          <w:szCs w:val="21"/>
          <w:lang w:val="en-US" w:bidi="ar"/>
        </w:rPr>
        <w:t>For uplink scenario, TPC model specified in TR 36.942, subclause 9.1 is applied with following parameters.</w:t>
      </w:r>
    </w:p>
    <w:p>
      <w:pPr>
        <w:widowControl w:val="0"/>
        <w:jc w:val="both"/>
        <w:rPr>
          <w:szCs w:val="21"/>
          <w:lang w:val="en-US"/>
        </w:rPr>
      </w:pPr>
      <w:r>
        <w:rPr>
          <w:kern w:val="2"/>
          <w:szCs w:val="21"/>
          <w:lang w:val="en-US" w:bidi="ar"/>
        </w:rPr>
        <w:t>-</w:t>
      </w:r>
      <w:r>
        <w:rPr>
          <w:kern w:val="2"/>
          <w:szCs w:val="21"/>
          <w:lang w:val="en-US" w:bidi="ar"/>
        </w:rPr>
        <w:tab/>
      </w:r>
      <w:r>
        <w:rPr>
          <w:kern w:val="2"/>
          <w:szCs w:val="21"/>
          <w:lang w:val="en-US" w:bidi="ar"/>
        </w:rPr>
        <w:t xml:space="preserve">CLx-ile = –SNR_target + UE_max_eirp– ThermalNoise – BS_NoiseFigure - 10*log10(BW) </w:t>
      </w:r>
    </w:p>
    <w:p>
      <w:pPr>
        <w:widowControl w:val="0"/>
        <w:jc w:val="both"/>
        <w:rPr>
          <w:szCs w:val="21"/>
          <w:lang w:val="en-US"/>
        </w:rPr>
      </w:pPr>
      <w:r>
        <w:rPr>
          <w:kern w:val="2"/>
          <w:szCs w:val="21"/>
          <w:lang w:val="en-US" w:bidi="ar"/>
        </w:rPr>
        <w:t>-</w:t>
      </w:r>
      <w:r>
        <w:rPr>
          <w:kern w:val="2"/>
          <w:szCs w:val="21"/>
          <w:lang w:val="en-US" w:bidi="ar"/>
        </w:rPr>
        <w:tab/>
      </w:r>
      <w:r>
        <w:rPr>
          <w:kern w:val="2"/>
          <w:szCs w:val="21"/>
          <w:lang w:val="en-US" w:bidi="ar"/>
        </w:rPr>
        <w:t>γ = 1</w:t>
      </w:r>
    </w:p>
    <w:p>
      <w:pPr>
        <w:pStyle w:val="15"/>
        <w:rPr>
          <w:rFonts w:hint="default"/>
          <w:b/>
          <w:bCs/>
          <w:i w:val="0"/>
          <w:iCs w:val="0"/>
          <w:color w:val="auto"/>
          <w:u w:val="none"/>
          <w:lang w:val="en-US" w:eastAsia="zh-CN"/>
        </w:rPr>
      </w:pPr>
      <w:r>
        <w:rPr>
          <w:kern w:val="2"/>
          <w:szCs w:val="21"/>
          <w:lang w:val="en-US" w:bidi="ar"/>
        </w:rPr>
        <w:t>Where, SNR_target for FR1 and FR2 are 15 dB.</w:t>
      </w:r>
    </w:p>
    <w:bookmarkEnd w:id="2"/>
    <w:bookmarkEnd w:id="3"/>
    <w:bookmarkEnd w:id="4"/>
    <w:bookmarkEnd w:id="5"/>
    <w:bookmarkEnd w:id="6"/>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eastAsia="zh-CN"/>
        </w:rPr>
        <w:t>from system parameter perspective for NTN Ka-band</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2127"/>
        </w:tabs>
        <w:kinsoku/>
        <w:wordWrap/>
        <w:topLinePunct w:val="0"/>
        <w:bidi w:val="0"/>
        <w:ind w:firstLine="0" w:firstLineChars="0"/>
        <w:jc w:val="both"/>
        <w:outlineLvl w:val="9"/>
        <w:rPr>
          <w:rFonts w:hint="default"/>
          <w:b/>
          <w:bCs/>
          <w:i w:val="0"/>
          <w:iCs w:val="0"/>
          <w:color w:val="auto"/>
          <w:u w:val="none"/>
          <w:lang w:val="en-US" w:eastAsia="zh-CN"/>
        </w:rPr>
      </w:pPr>
      <w:r>
        <w:rPr>
          <w:rFonts w:hint="eastAsia" w:cs="Times New Roman"/>
          <w:b/>
          <w:bCs/>
          <w:kern w:val="2"/>
          <w:sz w:val="21"/>
          <w:szCs w:val="22"/>
          <w:highlight w:val="none"/>
          <w:lang w:val="en-US" w:eastAsia="zh-CN" w:bidi="ar-SA"/>
        </w:rPr>
        <w:t>Proposal 1</w:t>
      </w:r>
      <w:r>
        <w:rPr>
          <w:rFonts w:hint="eastAsia" w:cs="Times New Roman"/>
          <w:kern w:val="2"/>
          <w:sz w:val="21"/>
          <w:szCs w:val="22"/>
          <w:highlight w:val="none"/>
          <w:lang w:val="en-US" w:eastAsia="zh-CN" w:bidi="ar-SA"/>
        </w:rPr>
        <w:t>: to update the ACLR requirement for TN as following</w:t>
      </w:r>
    </w:p>
    <w:tbl>
      <w:tblPr>
        <w:tblStyle w:val="25"/>
        <w:tblW w:w="9631" w:type="dxa"/>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247"/>
        <w:gridCol w:w="1306"/>
        <w:gridCol w:w="1444"/>
        <w:gridCol w:w="1306"/>
        <w:gridCol w:w="1255"/>
        <w:gridCol w:w="1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18" w:type="dxa"/>
            <w:vMerge w:val="restart"/>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Frequency band</w:t>
            </w:r>
          </w:p>
        </w:tc>
        <w:tc>
          <w:tcPr>
            <w:tcW w:w="2553" w:type="dxa"/>
            <w:gridSpan w:val="2"/>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BS</w:t>
            </w:r>
          </w:p>
        </w:tc>
        <w:tc>
          <w:tcPr>
            <w:tcW w:w="2750" w:type="dxa"/>
            <w:gridSpan w:val="2"/>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UE</w:t>
            </w:r>
          </w:p>
        </w:tc>
        <w:tc>
          <w:tcPr>
            <w:tcW w:w="2510" w:type="dxa"/>
            <w:gridSpan w:val="2"/>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lang w:val="en-US"/>
              </w:rPr>
            </w:pPr>
            <w:r>
              <w:rPr>
                <w:rFonts w:ascii="Times New Roman" w:hAnsi="Times New Roman" w:eastAsia="Yu Mincho"/>
                <w:lang w:val="en-US"/>
              </w:rPr>
              <w:t>ACIR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18" w:type="dxa"/>
            <w:vMerge w:val="continue"/>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p>
        </w:tc>
        <w:tc>
          <w:tcPr>
            <w:tcW w:w="1247"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ACLR</w:t>
            </w:r>
          </w:p>
        </w:tc>
        <w:tc>
          <w:tcPr>
            <w:tcW w:w="1306"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ACS</w:t>
            </w:r>
          </w:p>
        </w:tc>
        <w:tc>
          <w:tcPr>
            <w:tcW w:w="1444"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ACLR</w:t>
            </w:r>
          </w:p>
        </w:tc>
        <w:tc>
          <w:tcPr>
            <w:tcW w:w="1306"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ACS</w:t>
            </w:r>
          </w:p>
        </w:tc>
        <w:tc>
          <w:tcPr>
            <w:tcW w:w="1255"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lang w:val="en-US"/>
              </w:rPr>
            </w:pPr>
            <w:r>
              <w:rPr>
                <w:rFonts w:ascii="Times New Roman" w:hAnsi="Times New Roman" w:eastAsia="Yu Mincho"/>
                <w:lang w:val="en-US"/>
              </w:rPr>
              <w:t>BS ACLR</w:t>
            </w:r>
          </w:p>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lang w:val="en-US"/>
              </w:rPr>
              <w:t>UE ACS</w:t>
            </w:r>
          </w:p>
        </w:tc>
        <w:tc>
          <w:tcPr>
            <w:tcW w:w="1255" w:type="dxa"/>
            <w:shd w:val="clear" w:color="auto" w:fill="D8D8D8" w:themeFill="background1" w:themeFillShade="D9"/>
          </w:tcPr>
          <w:p>
            <w:pPr>
              <w:pStyle w:val="35"/>
              <w:overflowPunct w:val="0"/>
              <w:autoSpaceDE w:val="0"/>
              <w:autoSpaceDN w:val="0"/>
              <w:adjustRightInd w:val="0"/>
              <w:textAlignment w:val="baseline"/>
              <w:rPr>
                <w:rFonts w:ascii="Times New Roman" w:hAnsi="Times New Roman" w:eastAsia="Yu Mincho"/>
                <w:lang w:val="en-US"/>
              </w:rPr>
            </w:pPr>
            <w:r>
              <w:rPr>
                <w:rFonts w:ascii="Times New Roman" w:hAnsi="Times New Roman" w:eastAsia="Yu Mincho"/>
                <w:lang w:val="en-US"/>
              </w:rPr>
              <w:t>UE ACLR</w:t>
            </w:r>
          </w:p>
          <w:p>
            <w:pPr>
              <w:pStyle w:val="35"/>
              <w:overflowPunct w:val="0"/>
              <w:autoSpaceDE w:val="0"/>
              <w:autoSpaceDN w:val="0"/>
              <w:adjustRightInd w:val="0"/>
              <w:textAlignment w:val="baseline"/>
              <w:rPr>
                <w:rFonts w:ascii="Times New Roman" w:hAnsi="Times New Roman" w:eastAsia="Yu Mincho"/>
              </w:rPr>
            </w:pPr>
            <w:r>
              <w:rPr>
                <w:rFonts w:ascii="Times New Roman" w:hAnsi="Times New Roman" w:eastAsia="Yu Mincho"/>
                <w:lang w:val="en-US"/>
              </w:rPr>
              <w:t>BS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18" w:type="dxa"/>
          </w:tcPr>
          <w:p>
            <w:pPr>
              <w:pStyle w:val="37"/>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 xml:space="preserve">17 GHz </w:t>
            </w:r>
          </w:p>
        </w:tc>
        <w:tc>
          <w:tcPr>
            <w:tcW w:w="1247" w:type="dxa"/>
          </w:tcPr>
          <w:p>
            <w:pPr>
              <w:pStyle w:val="36"/>
              <w:overflowPunct w:val="0"/>
              <w:autoSpaceDE w:val="0"/>
              <w:autoSpaceDN w:val="0"/>
              <w:adjustRightInd w:val="0"/>
              <w:textAlignment w:val="baseline"/>
              <w:rPr>
                <w:rFonts w:ascii="Times New Roman" w:hAnsi="Times New Roman" w:eastAsiaTheme="minorEastAsia"/>
                <w:highlight w:val="yellow"/>
                <w:lang w:val="en-US"/>
              </w:rPr>
            </w:pPr>
            <w:r>
              <w:rPr>
                <w:rFonts w:ascii="Times New Roman" w:hAnsi="Times New Roman" w:eastAsiaTheme="minorEastAsia"/>
                <w:highlight w:val="yellow"/>
                <w:lang w:val="en-US"/>
              </w:rPr>
              <w:t>[30]</w:t>
            </w:r>
          </w:p>
        </w:tc>
        <w:tc>
          <w:tcPr>
            <w:tcW w:w="1306" w:type="dxa"/>
          </w:tcPr>
          <w:p>
            <w:pPr>
              <w:pStyle w:val="36"/>
              <w:overflowPunct w:val="0"/>
              <w:autoSpaceDE w:val="0"/>
              <w:autoSpaceDN w:val="0"/>
              <w:adjustRightInd w:val="0"/>
              <w:textAlignment w:val="baseline"/>
              <w:rPr>
                <w:rFonts w:ascii="Times New Roman" w:hAnsi="Times New Roman" w:eastAsia="Yu Mincho"/>
                <w:highlight w:val="yellow"/>
                <w:lang w:val="en-US"/>
              </w:rPr>
            </w:pPr>
            <w:r>
              <w:rPr>
                <w:rFonts w:ascii="Times New Roman" w:hAnsi="Times New Roman" w:eastAsia="Yu Mincho"/>
                <w:highlight w:val="yellow"/>
                <w:lang w:val="en-US"/>
              </w:rPr>
              <w:t>[26]</w:t>
            </w:r>
          </w:p>
        </w:tc>
        <w:tc>
          <w:tcPr>
            <w:tcW w:w="1444" w:type="dxa"/>
          </w:tcPr>
          <w:p>
            <w:pPr>
              <w:pStyle w:val="36"/>
              <w:overflowPunct w:val="0"/>
              <w:autoSpaceDE w:val="0"/>
              <w:autoSpaceDN w:val="0"/>
              <w:adjustRightInd w:val="0"/>
              <w:textAlignment w:val="baseline"/>
              <w:rPr>
                <w:rFonts w:hint="default" w:ascii="Times New Roman" w:hAnsi="Times New Roman" w:eastAsia="宋体"/>
                <w:highlight w:val="yellow"/>
                <w:lang w:val="en-US" w:eastAsia="zh-CN"/>
              </w:rPr>
            </w:pPr>
            <w:r>
              <w:rPr>
                <w:rFonts w:hint="eastAsia" w:ascii="Times New Roman" w:hAnsi="Times New Roman" w:eastAsia="宋体"/>
                <w:highlight w:val="yellow"/>
                <w:lang w:val="en-US" w:eastAsia="zh-CN"/>
              </w:rPr>
              <w:t>23</w:t>
            </w:r>
          </w:p>
        </w:tc>
        <w:tc>
          <w:tcPr>
            <w:tcW w:w="1306" w:type="dxa"/>
          </w:tcPr>
          <w:p>
            <w:pPr>
              <w:pStyle w:val="36"/>
              <w:overflowPunct w:val="0"/>
              <w:autoSpaceDE w:val="0"/>
              <w:autoSpaceDN w:val="0"/>
              <w:adjustRightInd w:val="0"/>
              <w:textAlignment w:val="baseline"/>
              <w:rPr>
                <w:rFonts w:ascii="Times New Roman" w:hAnsi="Times New Roman" w:eastAsia="Yu Mincho"/>
                <w:highlight w:val="yellow"/>
                <w:lang w:val="en-US"/>
              </w:rPr>
            </w:pPr>
            <w:r>
              <w:rPr>
                <w:rFonts w:ascii="Times New Roman" w:hAnsi="Times New Roman" w:eastAsia="Yu Mincho"/>
                <w:highlight w:val="yellow"/>
                <w:lang w:val="en-US"/>
              </w:rPr>
              <w:t>[25]</w:t>
            </w:r>
          </w:p>
        </w:tc>
        <w:tc>
          <w:tcPr>
            <w:tcW w:w="1255" w:type="dxa"/>
          </w:tcPr>
          <w:p>
            <w:pPr>
              <w:pStyle w:val="36"/>
              <w:overflowPunct w:val="0"/>
              <w:autoSpaceDE w:val="0"/>
              <w:autoSpaceDN w:val="0"/>
              <w:adjustRightInd w:val="0"/>
              <w:textAlignment w:val="baseline"/>
              <w:rPr>
                <w:rFonts w:ascii="Times New Roman" w:hAnsi="Times New Roman" w:eastAsia="Yu Mincho"/>
                <w:highlight w:val="yellow"/>
                <w:lang w:val="en-US"/>
              </w:rPr>
            </w:pPr>
            <w:r>
              <w:rPr>
                <w:rFonts w:ascii="Times New Roman" w:hAnsi="Times New Roman" w:eastAsia="Yu Mincho"/>
                <w:highlight w:val="yellow"/>
                <w:lang w:val="en-US"/>
              </w:rPr>
              <w:t>[23.8]</w:t>
            </w:r>
          </w:p>
        </w:tc>
        <w:tc>
          <w:tcPr>
            <w:tcW w:w="1255" w:type="dxa"/>
          </w:tcPr>
          <w:p>
            <w:pPr>
              <w:pStyle w:val="36"/>
              <w:overflowPunct w:val="0"/>
              <w:autoSpaceDE w:val="0"/>
              <w:autoSpaceDN w:val="0"/>
              <w:adjustRightInd w:val="0"/>
              <w:textAlignment w:val="baseline"/>
              <w:rPr>
                <w:rFonts w:ascii="Times New Roman" w:hAnsi="Times New Roman" w:eastAsia="Yu Mincho"/>
                <w:highlight w:val="yellow"/>
                <w:lang w:val="en-US"/>
              </w:rPr>
            </w:pPr>
            <w:r>
              <w:rPr>
                <w:rFonts w:ascii="Times New Roman" w:hAnsi="Times New Roman" w:eastAsia="Yu Mincho"/>
                <w:highlight w:val="yellow"/>
                <w:lang w:val="en-US"/>
              </w:rPr>
              <w:t>[</w:t>
            </w:r>
            <w:r>
              <w:rPr>
                <w:rFonts w:hint="eastAsia" w:ascii="Times New Roman" w:hAnsi="Times New Roman" w:eastAsia="宋体"/>
                <w:highlight w:val="yellow"/>
                <w:lang w:val="en-US" w:eastAsia="zh-CN"/>
              </w:rPr>
              <w:t>21.2</w:t>
            </w:r>
            <w:r>
              <w:rPr>
                <w:rFonts w:ascii="Times New Roman" w:hAnsi="Times New Roman" w:eastAsia="Yu Mincho"/>
                <w:highlight w:val="yellow"/>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18" w:type="dxa"/>
          </w:tcPr>
          <w:p>
            <w:pPr>
              <w:pStyle w:val="37"/>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 xml:space="preserve">27 GHz </w:t>
            </w:r>
          </w:p>
        </w:tc>
        <w:tc>
          <w:tcPr>
            <w:tcW w:w="1247" w:type="dxa"/>
          </w:tcPr>
          <w:p>
            <w:pPr>
              <w:pStyle w:val="36"/>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28</w:t>
            </w:r>
          </w:p>
        </w:tc>
        <w:tc>
          <w:tcPr>
            <w:tcW w:w="1306" w:type="dxa"/>
          </w:tcPr>
          <w:p>
            <w:pPr>
              <w:pStyle w:val="36"/>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24</w:t>
            </w:r>
          </w:p>
        </w:tc>
        <w:tc>
          <w:tcPr>
            <w:tcW w:w="1444" w:type="dxa"/>
          </w:tcPr>
          <w:p>
            <w:pPr>
              <w:pStyle w:val="36"/>
              <w:overflowPunct w:val="0"/>
              <w:autoSpaceDE w:val="0"/>
              <w:autoSpaceDN w:val="0"/>
              <w:adjustRightInd w:val="0"/>
              <w:textAlignment w:val="baseline"/>
              <w:rPr>
                <w:rFonts w:hint="default" w:ascii="Times New Roman" w:hAnsi="Times New Roman" w:eastAsia="宋体"/>
                <w:lang w:val="en-US" w:eastAsia="zh-CN"/>
              </w:rPr>
            </w:pPr>
            <w:r>
              <w:rPr>
                <w:rFonts w:hint="eastAsia" w:ascii="Times New Roman" w:hAnsi="Times New Roman" w:eastAsia="宋体"/>
                <w:lang w:val="en-US" w:eastAsia="zh-CN"/>
              </w:rPr>
              <w:t>23</w:t>
            </w:r>
          </w:p>
        </w:tc>
        <w:tc>
          <w:tcPr>
            <w:tcW w:w="1306" w:type="dxa"/>
          </w:tcPr>
          <w:p>
            <w:pPr>
              <w:pStyle w:val="36"/>
              <w:overflowPunct w:val="0"/>
              <w:autoSpaceDE w:val="0"/>
              <w:autoSpaceDN w:val="0"/>
              <w:adjustRightInd w:val="0"/>
              <w:textAlignment w:val="baseline"/>
              <w:rPr>
                <w:rFonts w:ascii="Times New Roman" w:hAnsi="Times New Roman" w:eastAsia="Yu Mincho"/>
              </w:rPr>
            </w:pPr>
            <w:r>
              <w:rPr>
                <w:rFonts w:ascii="Times New Roman" w:hAnsi="Times New Roman" w:eastAsia="Yu Mincho"/>
              </w:rPr>
              <w:t>23</w:t>
            </w:r>
          </w:p>
        </w:tc>
        <w:tc>
          <w:tcPr>
            <w:tcW w:w="1255" w:type="dxa"/>
          </w:tcPr>
          <w:p>
            <w:pPr>
              <w:pStyle w:val="36"/>
              <w:overflowPunct w:val="0"/>
              <w:autoSpaceDE w:val="0"/>
              <w:autoSpaceDN w:val="0"/>
              <w:adjustRightInd w:val="0"/>
              <w:textAlignment w:val="baseline"/>
              <w:rPr>
                <w:rFonts w:ascii="Times New Roman" w:hAnsi="Times New Roman" w:eastAsia="Yu Mincho"/>
                <w:lang w:val="en-US"/>
              </w:rPr>
            </w:pPr>
            <w:r>
              <w:rPr>
                <w:rFonts w:ascii="Times New Roman" w:hAnsi="Times New Roman" w:eastAsia="Yu Mincho"/>
                <w:lang w:val="en-US"/>
              </w:rPr>
              <w:t>21.8</w:t>
            </w:r>
          </w:p>
        </w:tc>
        <w:tc>
          <w:tcPr>
            <w:tcW w:w="1255" w:type="dxa"/>
          </w:tcPr>
          <w:p>
            <w:pPr>
              <w:pStyle w:val="36"/>
              <w:overflowPunct w:val="0"/>
              <w:autoSpaceDE w:val="0"/>
              <w:autoSpaceDN w:val="0"/>
              <w:adjustRightInd w:val="0"/>
              <w:textAlignment w:val="baseline"/>
              <w:rPr>
                <w:rFonts w:hint="default" w:ascii="Times New Roman" w:hAnsi="Times New Roman" w:eastAsia="宋体"/>
                <w:lang w:val="en-US" w:eastAsia="zh-CN"/>
              </w:rPr>
            </w:pPr>
            <w:r>
              <w:rPr>
                <w:rFonts w:hint="eastAsia" w:ascii="Times New Roman" w:hAnsi="Times New Roman" w:eastAsia="宋体"/>
                <w:lang w:val="en-US" w:eastAsia="zh-CN"/>
              </w:rPr>
              <w:t>20.5</w:t>
            </w:r>
          </w:p>
        </w:tc>
      </w:tr>
    </w:tbl>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2127"/>
        </w:tabs>
        <w:kinsoku/>
        <w:wordWrap/>
        <w:topLinePunct w:val="0"/>
        <w:bidi w:val="0"/>
        <w:ind w:firstLine="0" w:firstLineChars="0"/>
        <w:jc w:val="both"/>
        <w:outlineLvl w:val="9"/>
        <w:rPr>
          <w:rFonts w:hint="default"/>
          <w:b/>
          <w:bCs/>
          <w:i w:val="0"/>
          <w:iCs w:val="0"/>
          <w:color w:val="auto"/>
          <w:u w:val="none"/>
          <w:lang w:val="en-US" w:eastAsia="zh-CN"/>
        </w:rPr>
      </w:pPr>
      <w:r>
        <w:rPr>
          <w:rFonts w:hint="eastAsia" w:cs="Times New Roman"/>
          <w:b/>
          <w:bCs/>
          <w:kern w:val="2"/>
          <w:sz w:val="21"/>
          <w:szCs w:val="22"/>
          <w:highlight w:val="none"/>
          <w:lang w:val="en-US" w:eastAsia="zh-CN" w:bidi="ar-SA"/>
        </w:rPr>
        <w:t>Proposal 2</w:t>
      </w:r>
      <w:r>
        <w:rPr>
          <w:rFonts w:hint="eastAsia" w:cs="Times New Roman"/>
          <w:kern w:val="2"/>
          <w:sz w:val="21"/>
          <w:szCs w:val="22"/>
          <w:highlight w:val="none"/>
          <w:lang w:val="en-US" w:eastAsia="zh-CN" w:bidi="ar-SA"/>
        </w:rPr>
        <w:t>: to update the BS antenna configuration as following:</w:t>
      </w:r>
    </w:p>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p>
      <w:pPr>
        <w:spacing w:after="120"/>
        <w:rPr>
          <w:b/>
          <w:u w:val="single"/>
        </w:rPr>
      </w:pPr>
      <w:r>
        <w:rPr>
          <w:b/>
          <w:u w:val="single"/>
        </w:rPr>
        <w:t>BS antenna</w:t>
      </w:r>
    </w:p>
    <w:tbl>
      <w:tblPr>
        <w:tblStyle w:val="2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1"/>
        <w:gridCol w:w="4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736" w:type="pct"/>
            <w:tcBorders>
              <w:top w:val="single" w:color="auto" w:sz="4" w:space="0"/>
              <w:left w:val="single" w:color="auto" w:sz="4" w:space="0"/>
              <w:bottom w:val="single" w:color="auto" w:sz="4" w:space="0"/>
              <w:right w:val="single" w:color="auto" w:sz="4" w:space="0"/>
            </w:tcBorders>
            <w:vAlign w:val="center"/>
          </w:tcPr>
          <w:p>
            <w:pPr>
              <w:rPr>
                <w:b/>
                <w:sz w:val="18"/>
                <w:szCs w:val="18"/>
                <w:lang w:val="en-US" w:eastAsia="zh-CN"/>
              </w:rPr>
            </w:pP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b/>
                <w:sz w:val="18"/>
                <w:szCs w:val="18"/>
              </w:rP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Antenna pattern</w:t>
            </w:r>
          </w:p>
        </w:tc>
        <w:tc>
          <w:tcPr>
            <w:tcW w:w="2263" w:type="pct"/>
            <w:tcBorders>
              <w:top w:val="single" w:color="auto" w:sz="4" w:space="0"/>
              <w:left w:val="single" w:color="auto" w:sz="4" w:space="0"/>
              <w:bottom w:val="single" w:color="auto" w:sz="4" w:space="0"/>
              <w:right w:val="single" w:color="auto" w:sz="4" w:space="0"/>
            </w:tcBorders>
          </w:tcPr>
          <w:p>
            <w:pPr>
              <w:jc w:val="center"/>
              <w:rPr>
                <w:sz w:val="18"/>
                <w:szCs w:val="18"/>
              </w:rPr>
            </w:pPr>
            <w:r>
              <w:rPr>
                <w:sz w:val="18"/>
                <w:szCs w:val="18"/>
              </w:rPr>
              <w:t>TR 38.803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 xml:space="preserve">Horizontal </w:t>
            </w:r>
            <w:r>
              <w:rPr>
                <w:rFonts w:eastAsia="Times New Roman"/>
                <w:i/>
                <w:lang w:eastAsia="zh-CN"/>
              </w:rPr>
              <w:t>j</w:t>
            </w:r>
            <w:r>
              <w:rPr>
                <w:i/>
                <w:vertAlign w:val="subscript"/>
                <w:lang w:eastAsia="zh-CN"/>
              </w:rPr>
              <w:t>3dB</w:t>
            </w:r>
            <w:r>
              <w:rPr>
                <w:sz w:val="18"/>
                <w:szCs w:val="18"/>
              </w:rPr>
              <w:t xml:space="preserve"> /vertical </w:t>
            </w:r>
            <w:r>
              <w:rPr>
                <w:rFonts w:eastAsia="Times New Roman"/>
                <w:i/>
                <w:lang w:eastAsia="zh-CN"/>
              </w:rPr>
              <w:t>q</w:t>
            </w:r>
            <w:r>
              <w:rPr>
                <w:i/>
                <w:vertAlign w:val="subscript"/>
                <w:lang w:eastAsia="zh-CN"/>
              </w:rPr>
              <w:t>3dB</w:t>
            </w:r>
            <w:r>
              <w:rPr>
                <w:sz w:val="18"/>
                <w:szCs w:val="18"/>
              </w:rPr>
              <w:t xml:space="preserve"> 3 dB beam width of single element (degree) </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90º for H</w:t>
            </w:r>
          </w:p>
          <w:p>
            <w:pPr>
              <w:jc w:val="center"/>
              <w:rPr>
                <w:sz w:val="18"/>
                <w:szCs w:val="18"/>
              </w:rPr>
            </w:pPr>
            <w:r>
              <w:rPr>
                <w:sz w:val="18"/>
                <w:szCs w:val="18"/>
              </w:rPr>
              <w:t>90º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Horizontal/vertical front</w:t>
            </w:r>
            <w:r>
              <w:rPr>
                <w:sz w:val="18"/>
                <w:szCs w:val="18"/>
              </w:rPr>
              <w:noBreakHyphen/>
            </w:r>
            <w:r>
              <w:rPr>
                <w:sz w:val="18"/>
                <w:szCs w:val="18"/>
              </w:rPr>
              <w:t>to</w:t>
            </w:r>
            <w:r>
              <w:rPr>
                <w:sz w:val="18"/>
                <w:szCs w:val="18"/>
              </w:rPr>
              <w:noBreakHyphen/>
            </w:r>
            <w:r>
              <w:rPr>
                <w:sz w:val="18"/>
                <w:szCs w:val="18"/>
              </w:rPr>
              <w:t xml:space="preserve">back ratio </w:t>
            </w:r>
            <w:r>
              <w:rPr>
                <w:i/>
                <w:szCs w:val="18"/>
              </w:rPr>
              <w:t>A</w:t>
            </w:r>
            <w:r>
              <w:rPr>
                <w:i/>
                <w:szCs w:val="18"/>
                <w:vertAlign w:val="subscript"/>
              </w:rPr>
              <w:t>m</w:t>
            </w:r>
            <w:r>
              <w:rPr>
                <w:sz w:val="18"/>
                <w:szCs w:val="18"/>
              </w:rPr>
              <w:t xml:space="preserve"> (dB)</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 xml:space="preserve">Side lobe suppression </w:t>
            </w:r>
            <w:r>
              <w:rPr>
                <w:i/>
                <w:lang w:eastAsia="zh-CN"/>
              </w:rPr>
              <w:t>SLA</w:t>
            </w:r>
            <w:r>
              <w:rPr>
                <w:i/>
                <w:vertAlign w:val="subscript"/>
                <w:lang w:eastAsia="zh-CN"/>
              </w:rPr>
              <w:t>v (dB)</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 xml:space="preserve">Antenna polarization </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Linear ±45º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 xml:space="preserve">Antenna array configuration (Row × Column) </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16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 xml:space="preserve">Horizontal/Vertical radiating element spacing </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color w:val="0000FF"/>
                <w:sz w:val="18"/>
                <w:szCs w:val="18"/>
              </w:rPr>
            </w:pPr>
            <w:r>
              <w:rPr>
                <w:i/>
                <w:iCs/>
                <w:color w:val="0000FF"/>
                <w:sz w:val="18"/>
                <w:szCs w:val="18"/>
                <w:lang w:eastAsia="zh-CN"/>
              </w:rPr>
              <w:t>d</w:t>
            </w:r>
            <w:r>
              <w:rPr>
                <w:i/>
                <w:iCs/>
                <w:color w:val="0000FF"/>
                <w:sz w:val="18"/>
                <w:szCs w:val="18"/>
                <w:vertAlign w:val="subscript"/>
                <w:lang w:eastAsia="zh-CN"/>
              </w:rPr>
              <w:t>h</w:t>
            </w:r>
            <w:r>
              <w:rPr>
                <w:color w:val="0000FF"/>
                <w:sz w:val="18"/>
                <w:szCs w:val="18"/>
              </w:rPr>
              <w:t xml:space="preserve"> = 0.5 </w:t>
            </w:r>
          </w:p>
          <w:p>
            <w:pPr>
              <w:jc w:val="center"/>
              <w:rPr>
                <w:sz w:val="18"/>
                <w:szCs w:val="18"/>
              </w:rPr>
            </w:pPr>
            <w:r>
              <w:rPr>
                <w:i/>
                <w:iCs/>
                <w:color w:val="0000FF"/>
                <w:sz w:val="18"/>
                <w:szCs w:val="18"/>
                <w:lang w:eastAsia="zh-CN"/>
              </w:rPr>
              <w:t>dv</w:t>
            </w:r>
            <w:r>
              <w:rPr>
                <w:color w:val="0000FF"/>
                <w:sz w:val="18"/>
                <w:szCs w:val="18"/>
              </w:rPr>
              <w:t xml:space="preserve">  = 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trike/>
                <w:sz w:val="18"/>
                <w:szCs w:val="18"/>
              </w:rPr>
            </w:pPr>
            <w:r>
              <w:rPr>
                <w:strike/>
                <w:sz w:val="18"/>
                <w:szCs w:val="18"/>
              </w:rPr>
              <w:t xml:space="preserve">Array Ohmic loss </w:t>
            </w:r>
            <w:r>
              <w:rPr>
                <w:i/>
                <w:iCs/>
                <w:strike/>
                <w:sz w:val="18"/>
                <w:szCs w:val="18"/>
                <w:lang w:eastAsia="zh-CN"/>
              </w:rPr>
              <w:t>L</w:t>
            </w:r>
            <w:r>
              <w:rPr>
                <w:i/>
                <w:iCs/>
                <w:strike/>
                <w:sz w:val="18"/>
                <w:szCs w:val="18"/>
                <w:vertAlign w:val="subscript"/>
                <w:lang w:eastAsia="zh-CN"/>
              </w:rPr>
              <w:t>E</w:t>
            </w:r>
            <w:r>
              <w:rPr>
                <w:strike/>
                <w:sz w:val="18"/>
                <w:szCs w:val="18"/>
              </w:rPr>
              <w:t xml:space="preserve"> (dB) </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trike/>
                <w:sz w:val="18"/>
                <w:szCs w:val="18"/>
              </w:rPr>
            </w:pPr>
            <w:r>
              <w:rPr>
                <w:strike/>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trike/>
                <w:sz w:val="18"/>
                <w:szCs w:val="18"/>
              </w:rPr>
            </w:pPr>
            <w:r>
              <w:rPr>
                <w:strike/>
                <w:sz w:val="18"/>
                <w:szCs w:val="18"/>
              </w:rPr>
              <w:t xml:space="preserve">Conducted power (before Ohmic loss) per antenna element (dBm) </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strike/>
                <w:sz w:val="18"/>
                <w:szCs w:val="18"/>
              </w:rPr>
            </w:pPr>
            <w:r>
              <w:rPr>
                <w:strike/>
                <w:sz w:val="18"/>
                <w:szCs w:val="1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jc w:val="left"/>
              <w:rPr>
                <w:rFonts w:hint="default" w:eastAsia="宋体"/>
                <w:strike w:val="0"/>
                <w:sz w:val="18"/>
                <w:szCs w:val="18"/>
                <w:lang w:val="en-US" w:eastAsia="zh-CN"/>
              </w:rPr>
            </w:pPr>
            <w:r>
              <w:rPr>
                <w:rFonts w:ascii="Times New Roman" w:hAnsi="Times New Roman" w:cs="Times New Roman"/>
                <w:sz w:val="18"/>
                <w:szCs w:val="18"/>
                <w:lang w:eastAsia="zh-CN"/>
              </w:rPr>
              <w:t>Transmitter power</w:t>
            </w:r>
            <w:r>
              <w:rPr>
                <w:rFonts w:hint="eastAsia" w:cs="Times New Roman"/>
                <w:sz w:val="18"/>
                <w:szCs w:val="18"/>
                <w:lang w:val="en-US" w:eastAsia="zh-CN"/>
              </w:rPr>
              <w:t xml:space="preserve"> </w:t>
            </w:r>
            <w:r>
              <w:rPr>
                <w:rFonts w:ascii="Times New Roman" w:hAnsi="Times New Roman"/>
                <w:sz w:val="18"/>
                <w:szCs w:val="18"/>
                <w:lang w:eastAsia="zh-CN"/>
              </w:rPr>
              <w:t>(Total conducted power)</w:t>
            </w:r>
            <w:r>
              <w:rPr>
                <w:rFonts w:hint="default"/>
                <w:strike w:val="0"/>
                <w:sz w:val="18"/>
                <w:szCs w:val="18"/>
                <w:lang w:val="en-US" w:eastAsia="zh-CN"/>
              </w:rPr>
              <w:t xml:space="preserve"> (dBm)</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strike w:val="0"/>
                <w:sz w:val="18"/>
                <w:szCs w:val="18"/>
                <w:lang w:val="en-US" w:eastAsia="zh-CN"/>
              </w:rPr>
            </w:pPr>
            <w:r>
              <w:rPr>
                <w:rFonts w:hint="eastAsia"/>
                <w:strike w:val="0"/>
                <w:sz w:val="18"/>
                <w:szCs w:val="18"/>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36" w:type="pct"/>
            <w:tcBorders>
              <w:top w:val="single" w:color="auto" w:sz="4" w:space="0"/>
              <w:left w:val="single" w:color="auto" w:sz="4" w:space="0"/>
              <w:bottom w:val="single" w:color="auto" w:sz="4" w:space="0"/>
              <w:right w:val="single" w:color="auto" w:sz="4" w:space="0"/>
            </w:tcBorders>
          </w:tcPr>
          <w:p>
            <w:pPr>
              <w:rPr>
                <w:sz w:val="18"/>
                <w:szCs w:val="18"/>
              </w:rPr>
            </w:pPr>
            <w:r>
              <w:rPr>
                <w:sz w:val="18"/>
                <w:szCs w:val="18"/>
              </w:rPr>
              <w:t>Mechanical downtilt (degrees)</w:t>
            </w:r>
          </w:p>
        </w:tc>
        <w:tc>
          <w:tcPr>
            <w:tcW w:w="2263" w:type="pct"/>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sz w:val="18"/>
                <w:szCs w:val="18"/>
                <w:lang w:eastAsia="zh-CN"/>
              </w:rPr>
            </w:pPr>
            <w:r>
              <w:rPr>
                <w:rFonts w:hint="eastAsia"/>
                <w:sz w:val="18"/>
                <w:szCs w:val="18"/>
                <w:lang w:val="en-US" w:eastAsia="zh-CN"/>
              </w:rPr>
              <w:t>6</w:t>
            </w:r>
          </w:p>
        </w:tc>
      </w:tr>
    </w:tbl>
    <w:p>
      <w:pPr>
        <w:keepNext w:val="0"/>
        <w:keepLines w:val="0"/>
        <w:pageBreakBefore w:val="0"/>
        <w:widowControl w:val="0"/>
        <w:suppressLineNumbers w:val="0"/>
        <w:pBdr>
          <w:top w:val="none" w:color="auto" w:sz="0" w:space="0"/>
          <w:left w:val="none" w:color="auto" w:sz="0" w:space="0"/>
          <w:bottom w:val="none" w:color="auto" w:sz="0" w:space="0"/>
          <w:right w:val="none" w:color="auto" w:sz="0" w:space="0"/>
          <w:between w:val="none" w:color="auto" w:sz="0" w:space="0"/>
        </w:pBdr>
        <w:tabs>
          <w:tab w:val="left" w:pos="2127"/>
        </w:tabs>
        <w:kinsoku/>
        <w:wordWrap/>
        <w:topLinePunct w:val="0"/>
        <w:bidi w:val="0"/>
        <w:ind w:firstLine="0" w:firstLineChars="0"/>
        <w:jc w:val="both"/>
        <w:outlineLvl w:val="9"/>
        <w:rPr>
          <w:rFonts w:hint="default"/>
          <w:b/>
          <w:bCs/>
          <w:i w:val="0"/>
          <w:iCs w:val="0"/>
          <w:color w:val="auto"/>
          <w:u w:val="none"/>
          <w:lang w:val="en-US" w:eastAsia="zh-CN"/>
        </w:rPr>
      </w:pPr>
    </w:p>
    <w:p>
      <w:pPr>
        <w:pBdr>
          <w:top w:val="none" w:color="auto" w:sz="0" w:space="0"/>
          <w:left w:val="none" w:color="auto" w:sz="0" w:space="0"/>
          <w:bottom w:val="none" w:color="auto" w:sz="0" w:space="0"/>
          <w:right w:val="none" w:color="auto" w:sz="0" w:space="0"/>
          <w:between w:val="none" w:color="auto" w:sz="0" w:space="0"/>
        </w:pBdr>
        <w:tabs>
          <w:tab w:val="left" w:pos="2127"/>
        </w:tabs>
        <w:spacing w:after="0"/>
        <w:outlineLvl w:val="9"/>
        <w:rPr>
          <w:rFonts w:ascii="Arial" w:hAnsi="Arial" w:cs="Arial"/>
          <w:sz w:val="18"/>
        </w:rPr>
      </w:pPr>
      <w:r>
        <w:rPr>
          <w:rFonts w:hint="eastAsia" w:cs="Times New Roman"/>
          <w:b/>
          <w:bCs/>
          <w:kern w:val="2"/>
          <w:sz w:val="21"/>
          <w:szCs w:val="22"/>
          <w:highlight w:val="none"/>
          <w:lang w:val="en-US" w:eastAsia="zh-CN" w:bidi="ar-SA"/>
        </w:rPr>
        <w:t>Proposal 3</w:t>
      </w:r>
      <w:r>
        <w:rPr>
          <w:rFonts w:hint="eastAsia" w:cs="Times New Roman"/>
          <w:kern w:val="2"/>
          <w:sz w:val="21"/>
          <w:szCs w:val="22"/>
          <w:highlight w:val="none"/>
          <w:lang w:val="en-US" w:eastAsia="zh-CN" w:bidi="ar-SA"/>
        </w:rPr>
        <w:t>: for antenna pattern calculation for NTN VSAT and NTN SAN, propose to follow the option 2.</w:t>
      </w:r>
    </w:p>
    <w:p>
      <w:pPr>
        <w:ind w:left="576"/>
        <w:jc w:val="center"/>
        <w:rPr>
          <w:lang w:eastAsia="zh-CN"/>
        </w:rPr>
      </w:pPr>
      <w:r>
        <w:rPr>
          <w:highlight w:val="cyan"/>
          <w:lang w:val="en-US" w:eastAsia="zh-CN"/>
        </w:rPr>
        <w:t xml:space="preserve">Option 2: </w:t>
      </w:r>
      <m:oMath>
        <m:r>
          <w:rPr>
            <w:rFonts w:ascii="Cambria Math" w:hAnsi="Cambria Math"/>
            <w:highlight w:val="cyan"/>
          </w:rPr>
          <m:t>F</m:t>
        </m:r>
        <m:sSub>
          <m:sSubPr>
            <m:ctrlPr>
              <w:rPr>
                <w:rFonts w:ascii="Cambria Math" w:hAnsi="Cambria Math"/>
                <w:i/>
                <w:highlight w:val="cyan"/>
              </w:rPr>
            </m:ctrlPr>
          </m:sSubPr>
          <m:e>
            <m:d>
              <m:dPr>
                <m:ctrlPr>
                  <w:rPr>
                    <w:rFonts w:ascii="Cambria Math" w:hAnsi="Cambria Math"/>
                    <w:i/>
                    <w:highlight w:val="cyan"/>
                  </w:rPr>
                </m:ctrlPr>
              </m:dPr>
              <m:e>
                <m:r>
                  <w:rPr>
                    <w:rFonts w:ascii="Cambria Math" w:hAnsi="Cambria Math"/>
                    <w:highlight w:val="cyan"/>
                  </w:rPr>
                  <m:t>θ</m:t>
                </m:r>
                <m:ctrlPr>
                  <w:rPr>
                    <w:rFonts w:ascii="Cambria Math" w:hAnsi="Cambria Math"/>
                    <w:i/>
                    <w:highlight w:val="cyan"/>
                  </w:rPr>
                </m:ctrlPr>
              </m:e>
            </m:d>
            <m:ctrlPr>
              <w:rPr>
                <w:rFonts w:ascii="Cambria Math" w:hAnsi="Cambria Math"/>
                <w:i/>
                <w:highlight w:val="cyan"/>
              </w:rPr>
            </m:ctrlPr>
          </m:e>
          <m:sub>
            <m:r>
              <w:rPr>
                <w:rFonts w:ascii="Cambria Math" w:hAnsi="Cambria Math"/>
                <w:highlight w:val="cyan"/>
              </w:rPr>
              <m:t>dB</m:t>
            </m:r>
            <m:ctrlPr>
              <w:rPr>
                <w:rFonts w:ascii="Cambria Math" w:hAnsi="Cambria Math"/>
                <w:i/>
                <w:highlight w:val="cyan"/>
              </w:rPr>
            </m:ctrlPr>
          </m:sub>
        </m:sSub>
        <m:r>
          <w:rPr>
            <w:rFonts w:ascii="Cambria Math" w:hAnsi="Cambria Math"/>
            <w:highlight w:val="cyan"/>
          </w:rPr>
          <m:t>=10*log10(</m:t>
        </m:r>
        <m:sSup>
          <m:sSupPr>
            <m:ctrlPr>
              <w:rPr>
                <w:rFonts w:ascii="Cambria Math" w:hAnsi="Cambria Math"/>
                <w:i/>
                <w:highlight w:val="cyan"/>
              </w:rPr>
            </m:ctrlPr>
          </m:sSupPr>
          <m:e>
            <m:d>
              <m:dPr>
                <m:ctrlPr>
                  <w:rPr>
                    <w:rFonts w:ascii="Cambria Math" w:hAnsi="Cambria Math"/>
                    <w:i/>
                    <w:highlight w:val="cyan"/>
                  </w:rPr>
                </m:ctrlPr>
              </m:dPr>
              <m:e>
                <m:d>
                  <m:dPr>
                    <m:begChr m:val="|"/>
                    <m:endChr m:val="|"/>
                    <m:ctrlPr>
                      <w:rPr>
                        <w:rFonts w:ascii="Cambria Math" w:hAnsi="Cambria Math"/>
                        <w:i/>
                        <w:highlight w:val="cyan"/>
                      </w:rPr>
                    </m:ctrlPr>
                  </m:dPr>
                  <m:e>
                    <m:f>
                      <m:fPr>
                        <m:ctrlPr>
                          <w:rPr>
                            <w:rFonts w:ascii="Cambria Math" w:hAnsi="Cambria Math"/>
                            <w:i/>
                            <w:highlight w:val="cyan"/>
                          </w:rPr>
                        </m:ctrlPr>
                      </m:fPr>
                      <m:num>
                        <m:r>
                          <w:rPr>
                            <w:rFonts w:ascii="Cambria Math" w:hAnsi="Cambria Math"/>
                            <w:highlight w:val="cyan"/>
                          </w:rPr>
                          <m:t xml:space="preserve">2 </m:t>
                        </m:r>
                        <m:sSub>
                          <m:sSubPr>
                            <m:ctrlPr>
                              <w:rPr>
                                <w:rFonts w:ascii="Cambria Math" w:hAnsi="Cambria Math"/>
                                <w:i/>
                                <w:highlight w:val="cyan"/>
                              </w:rPr>
                            </m:ctrlPr>
                          </m:sSubPr>
                          <m:e>
                            <m:r>
                              <w:rPr>
                                <w:rFonts w:ascii="Cambria Math" w:hAnsi="Cambria Math"/>
                                <w:highlight w:val="cyan"/>
                              </w:rPr>
                              <m:t>J</m:t>
                            </m:r>
                            <m:ctrlPr>
                              <w:rPr>
                                <w:rFonts w:ascii="Cambria Math" w:hAnsi="Cambria Math"/>
                                <w:i/>
                                <w:highlight w:val="cyan"/>
                              </w:rPr>
                            </m:ctrlPr>
                          </m:e>
                          <m:sub>
                            <m:r>
                              <w:rPr>
                                <w:rFonts w:ascii="Cambria Math" w:hAnsi="Cambria Math"/>
                                <w:highlight w:val="cyan"/>
                              </w:rPr>
                              <m:t>1</m:t>
                            </m:r>
                            <m:ctrlPr>
                              <w:rPr>
                                <w:rFonts w:ascii="Cambria Math" w:hAnsi="Cambria Math"/>
                                <w:i/>
                                <w:highlight w:val="cyan"/>
                              </w:rPr>
                            </m:ctrlPr>
                          </m:sub>
                        </m:sSub>
                        <m:d>
                          <m:dPr>
                            <m:ctrlPr>
                              <w:rPr>
                                <w:rFonts w:ascii="Cambria Math" w:hAnsi="Cambria Math"/>
                                <w:i/>
                                <w:highlight w:val="cyan"/>
                              </w:rPr>
                            </m:ctrlPr>
                          </m:dPr>
                          <m:e>
                            <m:r>
                              <w:rPr>
                                <w:rFonts w:ascii="Cambria Math" w:hAnsi="Cambria Math"/>
                                <w:highlight w:val="cyan"/>
                              </w:rPr>
                              <m:t>u</m:t>
                            </m:r>
                            <m:ctrlPr>
                              <w:rPr>
                                <w:rFonts w:ascii="Cambria Math" w:hAnsi="Cambria Math"/>
                                <w:i/>
                                <w:highlight w:val="cyan"/>
                              </w:rPr>
                            </m:ctrlPr>
                          </m:e>
                        </m:d>
                        <m:ctrlPr>
                          <w:rPr>
                            <w:rFonts w:ascii="Cambria Math" w:hAnsi="Cambria Math"/>
                            <w:i/>
                            <w:highlight w:val="cyan"/>
                          </w:rPr>
                        </m:ctrlPr>
                      </m:num>
                      <m:den>
                        <m:r>
                          <w:rPr>
                            <w:rFonts w:ascii="Cambria Math" w:hAnsi="Cambria Math"/>
                            <w:highlight w:val="cyan"/>
                          </w:rPr>
                          <m:t>u</m:t>
                        </m:r>
                        <m:ctrlPr>
                          <w:rPr>
                            <w:rFonts w:ascii="Cambria Math" w:hAnsi="Cambria Math"/>
                            <w:i/>
                            <w:highlight w:val="cyan"/>
                          </w:rPr>
                        </m:ctrlPr>
                      </m:den>
                    </m:f>
                    <m:ctrlPr>
                      <w:rPr>
                        <w:rFonts w:ascii="Cambria Math" w:hAnsi="Cambria Math"/>
                        <w:i/>
                        <w:highlight w:val="cyan"/>
                      </w:rPr>
                    </m:ctrlPr>
                  </m:e>
                </m:d>
                <m:ctrlPr>
                  <w:rPr>
                    <w:rFonts w:ascii="Cambria Math" w:hAnsi="Cambria Math"/>
                    <w:i/>
                    <w:highlight w:val="cyan"/>
                  </w:rPr>
                </m:ctrlPr>
              </m:e>
            </m:d>
            <m:ctrlPr>
              <w:rPr>
                <w:rFonts w:ascii="Cambria Math" w:hAnsi="Cambria Math"/>
                <w:i/>
                <w:highlight w:val="cyan"/>
              </w:rPr>
            </m:ctrlPr>
          </m:e>
          <m:sup>
            <m:r>
              <w:rPr>
                <w:rFonts w:ascii="Cambria Math" w:hAnsi="Cambria Math"/>
                <w:highlight w:val="cyan"/>
              </w:rPr>
              <m:t>2</m:t>
            </m:r>
            <m:ctrlPr>
              <w:rPr>
                <w:rFonts w:ascii="Cambria Math" w:hAnsi="Cambria Math"/>
                <w:i/>
                <w:highlight w:val="cyan"/>
              </w:rPr>
            </m:ctrlPr>
          </m:sup>
        </m:sSup>
        <m:r>
          <w:rPr>
            <w:rFonts w:ascii="Cambria Math" w:hAnsi="Cambria Math"/>
            <w:highlight w:val="cyan"/>
          </w:rPr>
          <m:t>)</m:t>
        </m:r>
      </m:oMath>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b/>
          <w:bCs/>
          <w:kern w:val="2"/>
          <w:sz w:val="21"/>
          <w:szCs w:val="22"/>
          <w:highlight w:val="none"/>
          <w:lang w:val="en-US" w:eastAsia="zh-CN" w:bidi="ar-SA"/>
        </w:rPr>
        <w:t>Proposal 4:</w:t>
      </w:r>
      <w:r>
        <w:rPr>
          <w:rFonts w:hint="eastAsia" w:cs="Times New Roman"/>
          <w:kern w:val="2"/>
          <w:sz w:val="21"/>
          <w:szCs w:val="22"/>
          <w:highlight w:val="none"/>
          <w:lang w:val="en-US" w:eastAsia="zh-CN" w:bidi="ar-SA"/>
        </w:rPr>
        <w:t xml:space="preserve"> to update the ISD in FR2 as 200m</w:t>
      </w:r>
    </w:p>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tbl>
      <w:tblPr>
        <w:tblStyle w:val="24"/>
        <w:tblW w:w="2628" w:type="pct"/>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2491"/>
        <w:gridCol w:w="274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8"/>
                <w:szCs w:val="15"/>
              </w:rPr>
            </w:pPr>
          </w:p>
        </w:tc>
        <w:tc>
          <w:tcPr>
            <w:tcW w:w="2621" w:type="pct"/>
            <w:vAlign w:val="center"/>
          </w:tcPr>
          <w:p>
            <w:pPr>
              <w:snapToGrid w:val="0"/>
              <w:spacing w:after="0"/>
              <w:jc w:val="center"/>
              <w:rPr>
                <w:rFonts w:eastAsiaTheme="minorEastAsia"/>
                <w:sz w:val="18"/>
                <w:szCs w:val="15"/>
                <w:lang w:eastAsia="zh-CN"/>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8"/>
                <w:szCs w:val="15"/>
              </w:rPr>
            </w:pPr>
            <w:r>
              <w:rPr>
                <w:rFonts w:eastAsiaTheme="minorEastAsia"/>
                <w:sz w:val="18"/>
                <w:szCs w:val="15"/>
              </w:rPr>
              <w:t>Carrier frequency in GHz</w:t>
            </w:r>
          </w:p>
        </w:tc>
        <w:tc>
          <w:tcPr>
            <w:tcW w:w="2621" w:type="pct"/>
            <w:vAlign w:val="center"/>
          </w:tcPr>
          <w:p>
            <w:pPr>
              <w:snapToGrid w:val="0"/>
              <w:spacing w:after="0"/>
              <w:jc w:val="center"/>
              <w:rPr>
                <w:rFonts w:eastAsiaTheme="minorEastAsia"/>
                <w:sz w:val="18"/>
                <w:szCs w:val="15"/>
                <w:lang w:eastAsia="zh-CN"/>
              </w:rPr>
            </w:pPr>
            <w:r>
              <w:rPr>
                <w:rFonts w:hint="eastAsia" w:eastAsiaTheme="minorEastAsia"/>
                <w:sz w:val="18"/>
                <w:szCs w:val="15"/>
                <w:lang w:eastAsia="zh-CN"/>
              </w:rPr>
              <w:t>2</w:t>
            </w:r>
            <w:r>
              <w:rPr>
                <w:rFonts w:eastAsiaTheme="minorEastAsia"/>
                <w:sz w:val="18"/>
                <w:szCs w:val="15"/>
                <w:lang w:eastAsia="zh-CN"/>
              </w:rPr>
              <w:t>7</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8"/>
                <w:szCs w:val="15"/>
              </w:rPr>
            </w:pPr>
            <w:r>
              <w:rPr>
                <w:rFonts w:eastAsiaTheme="minorEastAsia"/>
                <w:sz w:val="18"/>
                <w:szCs w:val="15"/>
              </w:rPr>
              <w:t>Size of each nominal channel BW in MHz</w:t>
            </w:r>
          </w:p>
        </w:tc>
        <w:tc>
          <w:tcPr>
            <w:tcW w:w="2621" w:type="pct"/>
          </w:tcPr>
          <w:p>
            <w:pPr>
              <w:snapToGrid w:val="0"/>
              <w:spacing w:after="0"/>
              <w:jc w:val="center"/>
              <w:rPr>
                <w:rFonts w:eastAsiaTheme="minorEastAsia"/>
                <w:sz w:val="18"/>
                <w:szCs w:val="15"/>
                <w:highlight w:val="yellow"/>
                <w:lang w:eastAsia="zh-CN"/>
              </w:rPr>
            </w:pPr>
            <w:r>
              <w:rPr>
                <w:rFonts w:eastAsiaTheme="minorEastAsia"/>
                <w:sz w:val="18"/>
                <w:szCs w:val="15"/>
              </w:rPr>
              <w:t>200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8"/>
                <w:szCs w:val="15"/>
              </w:rPr>
            </w:pPr>
            <w:r>
              <w:rPr>
                <w:rFonts w:eastAsiaTheme="minorEastAsia"/>
                <w:sz w:val="18"/>
                <w:szCs w:val="15"/>
              </w:rPr>
              <w:t>Transmission bandwidth in MHz</w:t>
            </w:r>
          </w:p>
        </w:tc>
        <w:tc>
          <w:tcPr>
            <w:tcW w:w="2621" w:type="pct"/>
          </w:tcPr>
          <w:p>
            <w:pPr>
              <w:snapToGrid w:val="0"/>
              <w:spacing w:after="0"/>
              <w:jc w:val="center"/>
              <w:rPr>
                <w:rFonts w:eastAsiaTheme="minorEastAsia"/>
                <w:sz w:val="18"/>
                <w:szCs w:val="15"/>
                <w:highlight w:val="yellow"/>
              </w:rPr>
            </w:pPr>
            <w:r>
              <w:rPr>
                <w:rFonts w:eastAsiaTheme="minorEastAsia"/>
                <w:sz w:val="18"/>
                <w:szCs w:val="15"/>
              </w:rPr>
              <w:t>190.08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8"/>
                <w:szCs w:val="15"/>
              </w:rPr>
            </w:pPr>
            <w:r>
              <w:rPr>
                <w:rFonts w:eastAsiaTheme="minorEastAsia"/>
                <w:sz w:val="18"/>
                <w:szCs w:val="15"/>
              </w:rPr>
              <w:t>Environment</w:t>
            </w:r>
          </w:p>
        </w:tc>
        <w:tc>
          <w:tcPr>
            <w:tcW w:w="2621" w:type="pct"/>
            <w:vAlign w:val="center"/>
          </w:tcPr>
          <w:p>
            <w:pPr>
              <w:snapToGrid w:val="0"/>
              <w:spacing w:after="0"/>
              <w:jc w:val="center"/>
              <w:rPr>
                <w:rFonts w:eastAsiaTheme="minorEastAsia"/>
                <w:sz w:val="18"/>
                <w:szCs w:val="15"/>
                <w:lang w:eastAsia="zh-CN"/>
              </w:rPr>
            </w:pPr>
            <w:r>
              <w:rPr>
                <w:sz w:val="18"/>
                <w:szCs w:val="18"/>
                <w:lang w:eastAsia="ja-JP"/>
              </w:rPr>
              <w:t>Urban macro</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8"/>
                <w:szCs w:val="15"/>
              </w:rPr>
            </w:pPr>
            <w:r>
              <w:rPr>
                <w:rFonts w:eastAsiaTheme="minorEastAsia"/>
                <w:sz w:val="18"/>
                <w:szCs w:val="15"/>
              </w:rPr>
              <w:t>Network layout</w:t>
            </w:r>
          </w:p>
        </w:tc>
        <w:tc>
          <w:tcPr>
            <w:tcW w:w="2621" w:type="pct"/>
            <w:vAlign w:val="center"/>
          </w:tcPr>
          <w:p>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8"/>
                <w:szCs w:val="15"/>
                <w:lang w:val="sv-SE"/>
              </w:rPr>
            </w:pPr>
            <w:r>
              <w:rPr>
                <w:rFonts w:eastAsiaTheme="minorEastAsia"/>
                <w:sz w:val="18"/>
                <w:szCs w:val="15"/>
                <w:lang w:val="sv-SE"/>
              </w:rPr>
              <w:t>Inter-site distance in meter</w:t>
            </w:r>
          </w:p>
        </w:tc>
        <w:tc>
          <w:tcPr>
            <w:tcW w:w="2621" w:type="pct"/>
            <w:vAlign w:val="center"/>
          </w:tcPr>
          <w:p>
            <w:pPr>
              <w:snapToGrid w:val="0"/>
              <w:spacing w:after="0"/>
              <w:jc w:val="center"/>
              <w:rPr>
                <w:rFonts w:eastAsiaTheme="minorEastAsia"/>
                <w:sz w:val="18"/>
                <w:szCs w:val="15"/>
              </w:rPr>
            </w:pPr>
            <w:r>
              <w:rPr>
                <w:rFonts w:hint="eastAsia" w:eastAsiaTheme="minorEastAsia"/>
                <w:sz w:val="18"/>
                <w:szCs w:val="18"/>
                <w:lang w:val="en-US" w:eastAsia="zh-CN"/>
              </w:rPr>
              <w:t>2</w:t>
            </w:r>
            <w:r>
              <w:rPr>
                <w:rFonts w:eastAsiaTheme="minorEastAsia"/>
                <w:sz w:val="18"/>
                <w:szCs w:val="18"/>
              </w:rPr>
              <w:t>00m</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78" w:type="pct"/>
            <w:vAlign w:val="center"/>
          </w:tcPr>
          <w:p>
            <w:pPr>
              <w:snapToGrid w:val="0"/>
              <w:spacing w:after="0"/>
              <w:jc w:val="center"/>
              <w:rPr>
                <w:rFonts w:eastAsiaTheme="minorEastAsia"/>
                <w:sz w:val="16"/>
                <w:szCs w:val="18"/>
                <w:lang w:val="sv-SE" w:eastAsia="zh-CN"/>
              </w:rPr>
            </w:pPr>
            <w:r>
              <w:rPr>
                <w:rFonts w:hint="eastAsia" w:eastAsiaTheme="minorEastAsia"/>
                <w:sz w:val="16"/>
                <w:szCs w:val="18"/>
                <w:lang w:val="sv-SE" w:eastAsia="zh-CN"/>
              </w:rPr>
              <w:t>U</w:t>
            </w:r>
            <w:r>
              <w:rPr>
                <w:rFonts w:eastAsiaTheme="minorEastAsia"/>
                <w:sz w:val="16"/>
                <w:szCs w:val="18"/>
                <w:lang w:val="sv-SE" w:eastAsia="zh-CN"/>
              </w:rPr>
              <w:t>E number per cell</w:t>
            </w:r>
          </w:p>
        </w:tc>
        <w:tc>
          <w:tcPr>
            <w:tcW w:w="2621" w:type="pct"/>
          </w:tcPr>
          <w:p>
            <w:pPr>
              <w:snapToGrid w:val="0"/>
              <w:spacing w:after="0"/>
              <w:jc w:val="center"/>
              <w:rPr>
                <w:rFonts w:eastAsiaTheme="minorEastAsia"/>
                <w:sz w:val="18"/>
                <w:szCs w:val="18"/>
                <w:lang w:eastAsia="zh-CN"/>
              </w:rPr>
            </w:pPr>
            <w:r>
              <w:rPr>
                <w:rFonts w:eastAsiaTheme="minorEastAsia"/>
                <w:sz w:val="16"/>
                <w:szCs w:val="18"/>
                <w:lang w:val="en-US"/>
              </w:rPr>
              <w:t>S</w:t>
            </w:r>
            <w:r>
              <w:rPr>
                <w:rFonts w:hint="eastAsia" w:eastAsiaTheme="minorEastAsia"/>
                <w:sz w:val="16"/>
                <w:szCs w:val="18"/>
                <w:lang w:val="en-US"/>
              </w:rPr>
              <w:t>ame as the number of BS beam</w:t>
            </w:r>
          </w:p>
        </w:tc>
      </w:tr>
    </w:tbl>
    <w:p>
      <w:pPr>
        <w:widowControl w:val="0"/>
        <w:jc w:val="both"/>
        <w:rPr>
          <w:rFonts w:hint="eastAsia"/>
          <w:b/>
          <w:bCs/>
          <w:kern w:val="2"/>
          <w:szCs w:val="21"/>
          <w:lang w:val="en-US" w:eastAsia="zh-CN" w:bidi="ar"/>
        </w:rPr>
      </w:pPr>
    </w:p>
    <w:p>
      <w:pPr>
        <w:widowControl w:val="0"/>
        <w:jc w:val="both"/>
        <w:rPr>
          <w:rFonts w:hint="default"/>
          <w:kern w:val="2"/>
          <w:szCs w:val="21"/>
          <w:lang w:val="en-US" w:eastAsia="zh-CN" w:bidi="ar"/>
        </w:rPr>
      </w:pPr>
      <w:r>
        <w:rPr>
          <w:rFonts w:hint="eastAsia"/>
          <w:b/>
          <w:bCs/>
          <w:kern w:val="2"/>
          <w:szCs w:val="21"/>
          <w:lang w:val="en-US" w:eastAsia="zh-CN" w:bidi="ar"/>
        </w:rPr>
        <w:t>Proposal 5</w:t>
      </w:r>
      <w:r>
        <w:rPr>
          <w:rFonts w:hint="eastAsia"/>
          <w:kern w:val="2"/>
          <w:szCs w:val="21"/>
          <w:lang w:val="en-US" w:eastAsia="zh-CN" w:bidi="ar"/>
        </w:rPr>
        <w:t>: for the uplink power control of TN and NTN UE as following:</w:t>
      </w:r>
    </w:p>
    <w:p>
      <w:pPr>
        <w:widowControl w:val="0"/>
        <w:jc w:val="both"/>
        <w:rPr>
          <w:szCs w:val="21"/>
          <w:lang w:val="en-US"/>
        </w:rPr>
      </w:pPr>
      <w:r>
        <w:rPr>
          <w:kern w:val="2"/>
          <w:szCs w:val="21"/>
          <w:lang w:val="en-US" w:bidi="ar"/>
        </w:rPr>
        <w:t>For uplink scenario, TPC model specified in TR 36.942, subclause 9.1 is applied with following parameters.</w:t>
      </w:r>
    </w:p>
    <w:p>
      <w:pPr>
        <w:widowControl w:val="0"/>
        <w:jc w:val="both"/>
        <w:rPr>
          <w:szCs w:val="21"/>
          <w:lang w:val="en-US"/>
        </w:rPr>
      </w:pPr>
      <w:r>
        <w:rPr>
          <w:kern w:val="2"/>
          <w:szCs w:val="21"/>
          <w:lang w:val="en-US" w:bidi="ar"/>
        </w:rPr>
        <w:t>-</w:t>
      </w:r>
      <w:r>
        <w:rPr>
          <w:kern w:val="2"/>
          <w:szCs w:val="21"/>
          <w:lang w:val="en-US" w:bidi="ar"/>
        </w:rPr>
        <w:tab/>
      </w:r>
      <w:r>
        <w:rPr>
          <w:kern w:val="2"/>
          <w:szCs w:val="21"/>
          <w:lang w:val="en-US" w:bidi="ar"/>
        </w:rPr>
        <w:t xml:space="preserve">CLx-ile = –SNR_target + UE_max_eirp– ThermalNoise – BS_NoiseFigure - 10*log10(BW) </w:t>
      </w:r>
    </w:p>
    <w:p>
      <w:pPr>
        <w:widowControl w:val="0"/>
        <w:jc w:val="both"/>
        <w:rPr>
          <w:szCs w:val="21"/>
          <w:lang w:val="en-US"/>
        </w:rPr>
      </w:pPr>
      <w:r>
        <w:rPr>
          <w:kern w:val="2"/>
          <w:szCs w:val="21"/>
          <w:lang w:val="en-US" w:bidi="ar"/>
        </w:rPr>
        <w:t>-</w:t>
      </w:r>
      <w:r>
        <w:rPr>
          <w:kern w:val="2"/>
          <w:szCs w:val="21"/>
          <w:lang w:val="en-US" w:bidi="ar"/>
        </w:rPr>
        <w:tab/>
      </w:r>
      <w:r>
        <w:rPr>
          <w:kern w:val="2"/>
          <w:szCs w:val="21"/>
          <w:lang w:val="en-US" w:bidi="ar"/>
        </w:rPr>
        <w:t>γ = 1</w:t>
      </w:r>
    </w:p>
    <w:p>
      <w:pPr>
        <w:pStyle w:val="15"/>
        <w:rPr>
          <w:rFonts w:hint="eastAsia"/>
          <w:lang w:val="en-US" w:eastAsia="zh-CN"/>
        </w:rPr>
      </w:pPr>
      <w:r>
        <w:rPr>
          <w:kern w:val="2"/>
          <w:szCs w:val="21"/>
          <w:lang w:val="en-US" w:bidi="ar"/>
        </w:rPr>
        <w:t>Where, SNR_target for FR1 and FR2 are 15 dB.</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3"/>
        <w:numPr>
          <w:ilvl w:val="0"/>
          <w:numId w:val="4"/>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pStyle w:val="53"/>
        <w:numPr>
          <w:ilvl w:val="0"/>
          <w:numId w:val="4"/>
        </w:numPr>
        <w:rPr>
          <w:rFonts w:hint="eastAsia" w:ascii="Times New Roman" w:hAnsi="Times New Roman" w:eastAsia="宋体" w:cs="Times New Roman"/>
          <w:i w:val="0"/>
          <w:caps w:val="0"/>
          <w:spacing w:val="0"/>
          <w:sz w:val="20"/>
          <w:szCs w:val="20"/>
          <w:highlight w:val="none"/>
          <w:u w:val="none"/>
        </w:rPr>
      </w:pPr>
      <w:r>
        <w:rPr>
          <w:rFonts w:hint="eastAsia" w:ascii="Times New Roman" w:hAnsi="Times New Roman" w:eastAsia="宋体" w:cs="Times New Roman"/>
          <w:i w:val="0"/>
          <w:caps w:val="0"/>
          <w:spacing w:val="0"/>
          <w:sz w:val="20"/>
          <w:szCs w:val="20"/>
          <w:highlight w:val="none"/>
          <w:u w:val="none"/>
        </w:rPr>
        <w:t>R4-2309771</w:t>
      </w:r>
      <w:r>
        <w:rPr>
          <w:rFonts w:hint="eastAsia" w:ascii="Times New Roman" w:hAnsi="Times New Roman" w:eastAsia="宋体" w:cs="Times New Roman"/>
          <w:i w:val="0"/>
          <w:caps w:val="0"/>
          <w:spacing w:val="0"/>
          <w:sz w:val="20"/>
          <w:szCs w:val="20"/>
          <w:highlight w:val="none"/>
          <w:u w:val="none"/>
          <w:lang w:val="en-US" w:eastAsia="zh-CN"/>
        </w:rPr>
        <w:tab/>
      </w:r>
      <w:r>
        <w:rPr>
          <w:rFonts w:hint="eastAsia" w:ascii="Times New Roman" w:hAnsi="Times New Roman" w:eastAsia="宋体" w:cs="Times New Roman"/>
          <w:i w:val="0"/>
          <w:caps w:val="0"/>
          <w:spacing w:val="0"/>
          <w:sz w:val="20"/>
          <w:szCs w:val="20"/>
          <w:highlight w:val="none"/>
          <w:u w:val="none"/>
        </w:rPr>
        <w:t>Simulation assumption for co-existence study of Above 10GHz NTN band</w:t>
      </w:r>
      <w:r>
        <w:rPr>
          <w:rFonts w:hint="eastAsia" w:ascii="Times New Roman" w:hAnsi="Times New Roman" w:eastAsia="宋体" w:cs="Times New Roman"/>
          <w:i w:val="0"/>
          <w:caps w:val="0"/>
          <w:spacing w:val="0"/>
          <w:sz w:val="20"/>
          <w:szCs w:val="20"/>
          <w:highlight w:val="none"/>
          <w:u w:val="none"/>
          <w:lang w:val="en-US" w:eastAsia="zh-CN"/>
        </w:rPr>
        <w:t>, Samsung, Approved.</w:t>
      </w:r>
    </w:p>
    <w:p>
      <w:pPr>
        <w:pStyle w:val="53"/>
        <w:numPr>
          <w:ilvl w:val="0"/>
          <w:numId w:val="4"/>
        </w:numPr>
        <w:rPr>
          <w:rFonts w:hint="eastAsia" w:ascii="Times New Roman" w:hAnsi="Times New Roman" w:eastAsia="宋体" w:cs="Times New Roman"/>
          <w:i w:val="0"/>
          <w:caps w:val="0"/>
          <w:spacing w:val="0"/>
          <w:sz w:val="20"/>
          <w:szCs w:val="20"/>
          <w:highlight w:val="none"/>
          <w:u w:val="none"/>
        </w:rPr>
      </w:pPr>
      <w:r>
        <w:rPr>
          <w:rFonts w:hint="eastAsia" w:ascii="Times New Roman" w:hAnsi="Times New Roman" w:eastAsia="宋体" w:cs="Times New Roman"/>
          <w:i w:val="0"/>
          <w:caps w:val="0"/>
          <w:spacing w:val="0"/>
          <w:sz w:val="20"/>
          <w:szCs w:val="20"/>
          <w:highlight w:val="none"/>
          <w:u w:val="none"/>
        </w:rPr>
        <w:t>R4-2309767</w:t>
      </w:r>
      <w:r>
        <w:rPr>
          <w:rFonts w:hint="eastAsia" w:ascii="Times New Roman" w:hAnsi="Times New Roman" w:eastAsia="宋体" w:cs="Times New Roman"/>
          <w:i w:val="0"/>
          <w:caps w:val="0"/>
          <w:spacing w:val="0"/>
          <w:sz w:val="20"/>
          <w:szCs w:val="20"/>
          <w:highlight w:val="none"/>
          <w:u w:val="none"/>
          <w:lang w:val="en-US" w:eastAsia="zh-CN"/>
        </w:rPr>
        <w:tab/>
      </w:r>
      <w:r>
        <w:rPr>
          <w:rFonts w:hint="eastAsia" w:ascii="Times New Roman" w:hAnsi="Times New Roman" w:eastAsia="宋体" w:cs="Times New Roman"/>
          <w:i w:val="0"/>
          <w:caps w:val="0"/>
          <w:spacing w:val="0"/>
          <w:sz w:val="20"/>
          <w:szCs w:val="20"/>
          <w:highlight w:val="none"/>
          <w:u w:val="none"/>
        </w:rPr>
        <w:t>WF for co-existence study of Above 10GHz NTN band</w:t>
      </w:r>
      <w:r>
        <w:rPr>
          <w:rFonts w:hint="eastAsia" w:cs="Times New Roman"/>
          <w:i w:val="0"/>
          <w:caps w:val="0"/>
          <w:spacing w:val="0"/>
          <w:sz w:val="20"/>
          <w:szCs w:val="20"/>
          <w:highlight w:val="none"/>
          <w:u w:val="none"/>
          <w:lang w:val="en-US" w:eastAsia="zh-CN"/>
        </w:rPr>
        <w:t>, Samsung, Approved.</w:t>
      </w:r>
    </w:p>
    <w:p>
      <w:pPr>
        <w:pStyle w:val="53"/>
        <w:numPr>
          <w:ilvl w:val="0"/>
          <w:numId w:val="0"/>
        </w:numPr>
        <w:rPr>
          <w:rFonts w:hint="eastAsia" w:ascii="Times New Roman" w:hAnsi="Times New Roman" w:eastAsia="宋体" w:cs="Times New Roman"/>
          <w:i w:val="0"/>
          <w:caps w:val="0"/>
          <w:spacing w:val="0"/>
          <w:sz w:val="20"/>
          <w:szCs w:val="20"/>
          <w:highlight w:val="none"/>
          <w:u w:val="none"/>
        </w:rPr>
      </w:pPr>
    </w:p>
    <w:p>
      <w:pPr>
        <w:pStyle w:val="53"/>
        <w:numPr>
          <w:ilvl w:val="0"/>
          <w:numId w:val="0"/>
        </w:numPr>
        <w:rPr>
          <w:rFonts w:hint="eastAsia" w:ascii="Times New Roman" w:hAnsi="Times New Roman" w:eastAsia="宋体" w:cs="Times New Roman"/>
          <w:i w:val="0"/>
          <w:caps w:val="0"/>
          <w:spacing w:val="0"/>
          <w:sz w:val="20"/>
          <w:szCs w:val="20"/>
          <w:highlight w:val="none"/>
          <w:u w:val="none"/>
        </w:rPr>
      </w:pPr>
    </w:p>
    <w:p>
      <w:pPr>
        <w:pStyle w:val="53"/>
        <w:numPr>
          <w:ilvl w:val="0"/>
          <w:numId w:val="0"/>
        </w:numPr>
        <w:rPr>
          <w:rFonts w:hint="eastAsia" w:ascii="Times New Roman" w:hAnsi="Times New Roman" w:eastAsia="宋体" w:cs="Times New Roman"/>
          <w:i w:val="0"/>
          <w:caps w:val="0"/>
          <w:spacing w:val="0"/>
          <w:sz w:val="20"/>
          <w:szCs w:val="20"/>
          <w:highlight w:val="none"/>
          <w:u w:val="none"/>
        </w:rPr>
      </w:pPr>
    </w:p>
    <w:p>
      <w:pPr>
        <w:pStyle w:val="53"/>
        <w:numPr>
          <w:ilvl w:val="0"/>
          <w:numId w:val="0"/>
        </w:numPr>
        <w:rPr>
          <w:rFonts w:hint="eastAsia" w:ascii="Times New Roman" w:hAnsi="Times New Roman" w:eastAsia="宋体" w:cs="Times New Roman"/>
          <w:i w:val="0"/>
          <w:caps w:val="0"/>
          <w:spacing w:val="0"/>
          <w:sz w:val="20"/>
          <w:szCs w:val="20"/>
          <w:highlight w:val="none"/>
          <w:u w:val="none"/>
        </w:rPr>
      </w:pPr>
    </w:p>
    <w:p>
      <w:pPr>
        <w:pStyle w:val="53"/>
        <w:numPr>
          <w:ilvl w:val="0"/>
          <w:numId w:val="0"/>
        </w:numPr>
        <w:rPr>
          <w:rFonts w:hint="eastAsia" w:ascii="Times New Roman" w:hAnsi="Times New Roman" w:eastAsia="宋体" w:cs="Times New Roman"/>
          <w:i w:val="0"/>
          <w:caps w:val="0"/>
          <w:spacing w:val="0"/>
          <w:sz w:val="20"/>
          <w:szCs w:val="20"/>
          <w:highlight w:val="none"/>
          <w:u w:val="none"/>
          <w:lang w:eastAsia="zh-CN"/>
        </w:rPr>
      </w:pPr>
    </w:p>
    <w:p>
      <w:pPr>
        <w:pStyle w:val="53"/>
        <w:numPr>
          <w:ilvl w:val="0"/>
          <w:numId w:val="0"/>
        </w:numPr>
        <w:rPr>
          <w:rFonts w:hint="eastAsia" w:ascii="Times New Roman" w:hAnsi="Times New Roman" w:cs="Times New Roman"/>
          <w:b w:val="0"/>
          <w:sz w:val="20"/>
          <w:szCs w:val="20"/>
          <w:highlight w:val="none"/>
        </w:rPr>
      </w:pPr>
    </w:p>
    <w:p>
      <w:pPr>
        <w:pStyle w:val="53"/>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32B3E63"/>
    <w:multiLevelType w:val="multilevel"/>
    <w:tmpl w:val="032B3E63"/>
    <w:lvl w:ilvl="0" w:tentative="0">
      <w:start w:val="1"/>
      <w:numFmt w:val="bullet"/>
      <w:lvlText w:val=""/>
      <w:lvlJc w:val="left"/>
      <w:pPr>
        <w:ind w:left="1068" w:hanging="360"/>
      </w:pPr>
      <w:rPr>
        <w:rFonts w:hint="default" w:ascii="Symbol" w:hAnsi="Symbol"/>
      </w:rPr>
    </w:lvl>
    <w:lvl w:ilvl="1" w:tentative="0">
      <w:start w:val="1"/>
      <w:numFmt w:val="bullet"/>
      <w:lvlText w:val="o"/>
      <w:lvlJc w:val="left"/>
      <w:pPr>
        <w:ind w:left="1788" w:hanging="360"/>
      </w:pPr>
      <w:rPr>
        <w:rFonts w:hint="default" w:ascii="Courier New" w:hAnsi="Courier New" w:cs="Courier New"/>
      </w:rPr>
    </w:lvl>
    <w:lvl w:ilvl="2" w:tentative="0">
      <w:start w:val="1"/>
      <w:numFmt w:val="bullet"/>
      <w:lvlText w:val=""/>
      <w:lvlJc w:val="left"/>
      <w:pPr>
        <w:ind w:left="2508" w:hanging="360"/>
      </w:pPr>
      <w:rPr>
        <w:rFonts w:hint="default" w:ascii="Wingdings" w:hAnsi="Wingdings"/>
      </w:rPr>
    </w:lvl>
    <w:lvl w:ilvl="3" w:tentative="0">
      <w:start w:val="1"/>
      <w:numFmt w:val="bullet"/>
      <w:lvlText w:val=""/>
      <w:lvlJc w:val="left"/>
      <w:pPr>
        <w:ind w:left="3228" w:hanging="360"/>
      </w:pPr>
      <w:rPr>
        <w:rFonts w:hint="default" w:ascii="Symbol" w:hAnsi="Symbol"/>
      </w:rPr>
    </w:lvl>
    <w:lvl w:ilvl="4" w:tentative="0">
      <w:start w:val="1"/>
      <w:numFmt w:val="bullet"/>
      <w:lvlText w:val="o"/>
      <w:lvlJc w:val="left"/>
      <w:pPr>
        <w:ind w:left="3948" w:hanging="360"/>
      </w:pPr>
      <w:rPr>
        <w:rFonts w:hint="default" w:ascii="Courier New" w:hAnsi="Courier New" w:cs="Courier New"/>
      </w:rPr>
    </w:lvl>
    <w:lvl w:ilvl="5" w:tentative="0">
      <w:start w:val="1"/>
      <w:numFmt w:val="bullet"/>
      <w:lvlText w:val=""/>
      <w:lvlJc w:val="left"/>
      <w:pPr>
        <w:ind w:left="4668" w:hanging="360"/>
      </w:pPr>
      <w:rPr>
        <w:rFonts w:hint="default" w:ascii="Wingdings" w:hAnsi="Wingdings"/>
      </w:rPr>
    </w:lvl>
    <w:lvl w:ilvl="6" w:tentative="0">
      <w:start w:val="1"/>
      <w:numFmt w:val="bullet"/>
      <w:lvlText w:val=""/>
      <w:lvlJc w:val="left"/>
      <w:pPr>
        <w:ind w:left="5388" w:hanging="360"/>
      </w:pPr>
      <w:rPr>
        <w:rFonts w:hint="default" w:ascii="Symbol" w:hAnsi="Symbol"/>
      </w:rPr>
    </w:lvl>
    <w:lvl w:ilvl="7" w:tentative="0">
      <w:start w:val="1"/>
      <w:numFmt w:val="bullet"/>
      <w:lvlText w:val="o"/>
      <w:lvlJc w:val="left"/>
      <w:pPr>
        <w:ind w:left="6108" w:hanging="360"/>
      </w:pPr>
      <w:rPr>
        <w:rFonts w:hint="default" w:ascii="Courier New" w:hAnsi="Courier New" w:cs="Courier New"/>
      </w:rPr>
    </w:lvl>
    <w:lvl w:ilvl="8" w:tentative="0">
      <w:start w:val="1"/>
      <w:numFmt w:val="bullet"/>
      <w:lvlText w:val=""/>
      <w:lvlJc w:val="left"/>
      <w:pPr>
        <w:ind w:left="6828" w:hanging="36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1780" w:hanging="360"/>
      </w:pPr>
      <w:rPr>
        <w:rFonts w:hint="default" w:ascii="Symbol" w:hAnsi="Symbol"/>
      </w:rPr>
    </w:lvl>
    <w:lvl w:ilvl="1" w:tentative="0">
      <w:start w:val="1"/>
      <w:numFmt w:val="bullet"/>
      <w:lvlText w:val="o"/>
      <w:lvlJc w:val="left"/>
      <w:pPr>
        <w:ind w:left="2500" w:hanging="360"/>
      </w:pPr>
      <w:rPr>
        <w:rFonts w:hint="default" w:ascii="Courier New" w:hAnsi="Courier New" w:cs="Courier New"/>
      </w:rPr>
    </w:lvl>
    <w:lvl w:ilvl="2" w:tentative="0">
      <w:start w:val="1"/>
      <w:numFmt w:val="bullet"/>
      <w:lvlText w:val=""/>
      <w:lvlJc w:val="left"/>
      <w:pPr>
        <w:ind w:left="3220" w:hanging="360"/>
      </w:pPr>
      <w:rPr>
        <w:rFonts w:hint="default" w:ascii="Wingdings" w:hAnsi="Wingdings"/>
      </w:rPr>
    </w:lvl>
    <w:lvl w:ilvl="3" w:tentative="0">
      <w:start w:val="1"/>
      <w:numFmt w:val="bullet"/>
      <w:lvlText w:val=""/>
      <w:lvlJc w:val="left"/>
      <w:pPr>
        <w:ind w:left="3940" w:hanging="360"/>
      </w:pPr>
      <w:rPr>
        <w:rFonts w:hint="default" w:ascii="Symbol" w:hAnsi="Symbol"/>
      </w:rPr>
    </w:lvl>
    <w:lvl w:ilvl="4" w:tentative="0">
      <w:start w:val="1"/>
      <w:numFmt w:val="bullet"/>
      <w:lvlText w:val="o"/>
      <w:lvlJc w:val="left"/>
      <w:pPr>
        <w:ind w:left="4660" w:hanging="360"/>
      </w:pPr>
      <w:rPr>
        <w:rFonts w:hint="default" w:ascii="Courier New" w:hAnsi="Courier New" w:cs="Courier New"/>
      </w:rPr>
    </w:lvl>
    <w:lvl w:ilvl="5" w:tentative="0">
      <w:start w:val="1"/>
      <w:numFmt w:val="bullet"/>
      <w:lvlText w:val=""/>
      <w:lvlJc w:val="left"/>
      <w:pPr>
        <w:ind w:left="5380" w:hanging="360"/>
      </w:pPr>
      <w:rPr>
        <w:rFonts w:hint="default" w:ascii="Wingdings" w:hAnsi="Wingdings"/>
      </w:rPr>
    </w:lvl>
    <w:lvl w:ilvl="6" w:tentative="0">
      <w:start w:val="1"/>
      <w:numFmt w:val="bullet"/>
      <w:lvlText w:val=""/>
      <w:lvlJc w:val="left"/>
      <w:pPr>
        <w:ind w:left="6100" w:hanging="360"/>
      </w:pPr>
      <w:rPr>
        <w:rFonts w:hint="default" w:ascii="Symbol" w:hAnsi="Symbol"/>
      </w:rPr>
    </w:lvl>
    <w:lvl w:ilvl="7" w:tentative="0">
      <w:start w:val="1"/>
      <w:numFmt w:val="bullet"/>
      <w:lvlText w:val="o"/>
      <w:lvlJc w:val="left"/>
      <w:pPr>
        <w:ind w:left="6820" w:hanging="360"/>
      </w:pPr>
      <w:rPr>
        <w:rFonts w:hint="default" w:ascii="Courier New" w:hAnsi="Courier New" w:cs="Courier New"/>
      </w:rPr>
    </w:lvl>
    <w:lvl w:ilvl="8" w:tentative="0">
      <w:start w:val="1"/>
      <w:numFmt w:val="bullet"/>
      <w:lvlText w:val=""/>
      <w:lvlJc w:val="left"/>
      <w:pPr>
        <w:ind w:left="7540"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896"/>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23B5A"/>
    <w:rsid w:val="02532AA9"/>
    <w:rsid w:val="025732DD"/>
    <w:rsid w:val="025C0F66"/>
    <w:rsid w:val="0262197E"/>
    <w:rsid w:val="026667E9"/>
    <w:rsid w:val="026B7048"/>
    <w:rsid w:val="027035EC"/>
    <w:rsid w:val="0280035E"/>
    <w:rsid w:val="028742F5"/>
    <w:rsid w:val="028748E0"/>
    <w:rsid w:val="02892A7A"/>
    <w:rsid w:val="02927A98"/>
    <w:rsid w:val="029342BD"/>
    <w:rsid w:val="029D3139"/>
    <w:rsid w:val="02AF6836"/>
    <w:rsid w:val="02B02D5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A7D52"/>
    <w:rsid w:val="033D44BC"/>
    <w:rsid w:val="033F52A3"/>
    <w:rsid w:val="033F7E0C"/>
    <w:rsid w:val="03402EB3"/>
    <w:rsid w:val="034C342E"/>
    <w:rsid w:val="034C5C4D"/>
    <w:rsid w:val="034E41AA"/>
    <w:rsid w:val="0354325C"/>
    <w:rsid w:val="035C4C68"/>
    <w:rsid w:val="035D2EB4"/>
    <w:rsid w:val="03651217"/>
    <w:rsid w:val="03687ADD"/>
    <w:rsid w:val="03696DA6"/>
    <w:rsid w:val="036A231E"/>
    <w:rsid w:val="036E0F29"/>
    <w:rsid w:val="037252C8"/>
    <w:rsid w:val="03774924"/>
    <w:rsid w:val="03822F79"/>
    <w:rsid w:val="0395764C"/>
    <w:rsid w:val="03974352"/>
    <w:rsid w:val="039B69FD"/>
    <w:rsid w:val="03A32E58"/>
    <w:rsid w:val="03BB3B47"/>
    <w:rsid w:val="03C0647A"/>
    <w:rsid w:val="03C6618A"/>
    <w:rsid w:val="03CD06E1"/>
    <w:rsid w:val="03CD6E1F"/>
    <w:rsid w:val="03D3772A"/>
    <w:rsid w:val="03D4427A"/>
    <w:rsid w:val="03D85D8B"/>
    <w:rsid w:val="03D9743D"/>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6E4028"/>
    <w:rsid w:val="05734531"/>
    <w:rsid w:val="05784E56"/>
    <w:rsid w:val="057F0408"/>
    <w:rsid w:val="05804262"/>
    <w:rsid w:val="05816D10"/>
    <w:rsid w:val="058E6ED4"/>
    <w:rsid w:val="05930F73"/>
    <w:rsid w:val="05940F3F"/>
    <w:rsid w:val="05984412"/>
    <w:rsid w:val="05991C8F"/>
    <w:rsid w:val="05A706E9"/>
    <w:rsid w:val="05A9742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13314"/>
    <w:rsid w:val="060836A6"/>
    <w:rsid w:val="060C5B07"/>
    <w:rsid w:val="060D249E"/>
    <w:rsid w:val="06111076"/>
    <w:rsid w:val="061E2511"/>
    <w:rsid w:val="062D742E"/>
    <w:rsid w:val="0636555F"/>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17E09"/>
    <w:rsid w:val="06B506C7"/>
    <w:rsid w:val="06B548E2"/>
    <w:rsid w:val="06BA7F49"/>
    <w:rsid w:val="06BB4F9D"/>
    <w:rsid w:val="06C72EBF"/>
    <w:rsid w:val="06C9247F"/>
    <w:rsid w:val="06CD3A64"/>
    <w:rsid w:val="06D407FD"/>
    <w:rsid w:val="06DF7EFF"/>
    <w:rsid w:val="06F30672"/>
    <w:rsid w:val="06F35A7A"/>
    <w:rsid w:val="06F35AB6"/>
    <w:rsid w:val="06F36E77"/>
    <w:rsid w:val="06F66B05"/>
    <w:rsid w:val="0702074E"/>
    <w:rsid w:val="0708086F"/>
    <w:rsid w:val="07195C98"/>
    <w:rsid w:val="07220D76"/>
    <w:rsid w:val="072717DA"/>
    <w:rsid w:val="07277193"/>
    <w:rsid w:val="072B7E46"/>
    <w:rsid w:val="072F2139"/>
    <w:rsid w:val="07357EB2"/>
    <w:rsid w:val="073B285A"/>
    <w:rsid w:val="07436058"/>
    <w:rsid w:val="074E566F"/>
    <w:rsid w:val="074F3DF9"/>
    <w:rsid w:val="07537C92"/>
    <w:rsid w:val="075670A4"/>
    <w:rsid w:val="075E667A"/>
    <w:rsid w:val="076606CB"/>
    <w:rsid w:val="07660D5A"/>
    <w:rsid w:val="07665169"/>
    <w:rsid w:val="076F4BA4"/>
    <w:rsid w:val="07731BE6"/>
    <w:rsid w:val="07750A92"/>
    <w:rsid w:val="07790496"/>
    <w:rsid w:val="077F542D"/>
    <w:rsid w:val="077F5D16"/>
    <w:rsid w:val="07817B19"/>
    <w:rsid w:val="078B062A"/>
    <w:rsid w:val="078F6FFB"/>
    <w:rsid w:val="07916BE4"/>
    <w:rsid w:val="079874F1"/>
    <w:rsid w:val="07A2728D"/>
    <w:rsid w:val="07A80D41"/>
    <w:rsid w:val="07AA3E51"/>
    <w:rsid w:val="07BE51B2"/>
    <w:rsid w:val="07C5157D"/>
    <w:rsid w:val="07D835FB"/>
    <w:rsid w:val="07DD018B"/>
    <w:rsid w:val="07E014BE"/>
    <w:rsid w:val="07E04AA8"/>
    <w:rsid w:val="07E85751"/>
    <w:rsid w:val="07ED5339"/>
    <w:rsid w:val="07F97CF9"/>
    <w:rsid w:val="0800676F"/>
    <w:rsid w:val="080F4BCD"/>
    <w:rsid w:val="08166652"/>
    <w:rsid w:val="08171593"/>
    <w:rsid w:val="0835476E"/>
    <w:rsid w:val="08367FC2"/>
    <w:rsid w:val="08391661"/>
    <w:rsid w:val="084A7588"/>
    <w:rsid w:val="084E0029"/>
    <w:rsid w:val="08550FFB"/>
    <w:rsid w:val="085D6C7E"/>
    <w:rsid w:val="08611CAF"/>
    <w:rsid w:val="0865781A"/>
    <w:rsid w:val="0866133E"/>
    <w:rsid w:val="08692F64"/>
    <w:rsid w:val="08736497"/>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DC5323"/>
    <w:rsid w:val="08E0451F"/>
    <w:rsid w:val="08F10FA0"/>
    <w:rsid w:val="08F5200D"/>
    <w:rsid w:val="08F911CC"/>
    <w:rsid w:val="08FF0A1F"/>
    <w:rsid w:val="09016732"/>
    <w:rsid w:val="090731EE"/>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2615B"/>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54854"/>
    <w:rsid w:val="0A3A0D5D"/>
    <w:rsid w:val="0A475F1B"/>
    <w:rsid w:val="0A483EAD"/>
    <w:rsid w:val="0A5056C6"/>
    <w:rsid w:val="0A5060D6"/>
    <w:rsid w:val="0A544B53"/>
    <w:rsid w:val="0A5F4C2E"/>
    <w:rsid w:val="0A61702D"/>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60B2F"/>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B1908"/>
    <w:rsid w:val="0B2D66EE"/>
    <w:rsid w:val="0B2F5B10"/>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8A537E"/>
    <w:rsid w:val="0B936E39"/>
    <w:rsid w:val="0B9C0905"/>
    <w:rsid w:val="0B9E13B0"/>
    <w:rsid w:val="0BB02C8B"/>
    <w:rsid w:val="0BB2460A"/>
    <w:rsid w:val="0BB41CFB"/>
    <w:rsid w:val="0BB53F3C"/>
    <w:rsid w:val="0BC739F0"/>
    <w:rsid w:val="0BD21910"/>
    <w:rsid w:val="0BDA3782"/>
    <w:rsid w:val="0BDB5584"/>
    <w:rsid w:val="0BE03DAA"/>
    <w:rsid w:val="0BE17727"/>
    <w:rsid w:val="0BE96AA5"/>
    <w:rsid w:val="0BEC55E4"/>
    <w:rsid w:val="0BEF5C37"/>
    <w:rsid w:val="0BF427F9"/>
    <w:rsid w:val="0BFB48BC"/>
    <w:rsid w:val="0C00273A"/>
    <w:rsid w:val="0C0241E1"/>
    <w:rsid w:val="0C0B2ABC"/>
    <w:rsid w:val="0C0C632D"/>
    <w:rsid w:val="0C120111"/>
    <w:rsid w:val="0C12447E"/>
    <w:rsid w:val="0C1D0A79"/>
    <w:rsid w:val="0C367363"/>
    <w:rsid w:val="0C37145B"/>
    <w:rsid w:val="0C3946F8"/>
    <w:rsid w:val="0C3C0AB0"/>
    <w:rsid w:val="0C505A52"/>
    <w:rsid w:val="0C52301A"/>
    <w:rsid w:val="0C573449"/>
    <w:rsid w:val="0C576E02"/>
    <w:rsid w:val="0C5D4940"/>
    <w:rsid w:val="0C6038EF"/>
    <w:rsid w:val="0C61489A"/>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D540B5"/>
    <w:rsid w:val="0CE245F1"/>
    <w:rsid w:val="0CE4001E"/>
    <w:rsid w:val="0CE6493C"/>
    <w:rsid w:val="0CEA06E8"/>
    <w:rsid w:val="0CF5634C"/>
    <w:rsid w:val="0CFB0C0D"/>
    <w:rsid w:val="0D0148C7"/>
    <w:rsid w:val="0D0213CD"/>
    <w:rsid w:val="0D04575D"/>
    <w:rsid w:val="0D0612B8"/>
    <w:rsid w:val="0D066A9C"/>
    <w:rsid w:val="0D0714BC"/>
    <w:rsid w:val="0D135280"/>
    <w:rsid w:val="0D136EF9"/>
    <w:rsid w:val="0D19652C"/>
    <w:rsid w:val="0D1A52C8"/>
    <w:rsid w:val="0D1C1D16"/>
    <w:rsid w:val="0D21615D"/>
    <w:rsid w:val="0D2454BF"/>
    <w:rsid w:val="0D2767B5"/>
    <w:rsid w:val="0D3E327E"/>
    <w:rsid w:val="0D3F4797"/>
    <w:rsid w:val="0D432A3E"/>
    <w:rsid w:val="0D480AA9"/>
    <w:rsid w:val="0D560E10"/>
    <w:rsid w:val="0D5800C7"/>
    <w:rsid w:val="0D5B6E86"/>
    <w:rsid w:val="0D5C19E9"/>
    <w:rsid w:val="0D604B9B"/>
    <w:rsid w:val="0D6314F2"/>
    <w:rsid w:val="0D63712E"/>
    <w:rsid w:val="0D6A353C"/>
    <w:rsid w:val="0D813BDF"/>
    <w:rsid w:val="0D826C81"/>
    <w:rsid w:val="0D904522"/>
    <w:rsid w:val="0D976014"/>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0F6316"/>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86CDB"/>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BE77EA"/>
    <w:rsid w:val="0FC12836"/>
    <w:rsid w:val="0FD95333"/>
    <w:rsid w:val="0FEB0378"/>
    <w:rsid w:val="0FEC322B"/>
    <w:rsid w:val="0FEC6EF6"/>
    <w:rsid w:val="10045EE6"/>
    <w:rsid w:val="100C1580"/>
    <w:rsid w:val="100D3B17"/>
    <w:rsid w:val="10154FE6"/>
    <w:rsid w:val="101571DA"/>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DE3463"/>
    <w:rsid w:val="10FA45D2"/>
    <w:rsid w:val="11024527"/>
    <w:rsid w:val="110A07A5"/>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AF7714"/>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81555"/>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A4A78"/>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A5A30"/>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94950"/>
    <w:rsid w:val="155B1745"/>
    <w:rsid w:val="155C27D0"/>
    <w:rsid w:val="155F651D"/>
    <w:rsid w:val="15655F19"/>
    <w:rsid w:val="156778BF"/>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52629"/>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76BE5"/>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32D8"/>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B4D"/>
    <w:rsid w:val="17844C56"/>
    <w:rsid w:val="178A60FC"/>
    <w:rsid w:val="179276D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62D3D"/>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65D77"/>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7F5019"/>
    <w:rsid w:val="198374F4"/>
    <w:rsid w:val="1989194D"/>
    <w:rsid w:val="19894C83"/>
    <w:rsid w:val="198B2318"/>
    <w:rsid w:val="19A7296F"/>
    <w:rsid w:val="19B94DE5"/>
    <w:rsid w:val="19BB7983"/>
    <w:rsid w:val="19CA4702"/>
    <w:rsid w:val="19D04C3C"/>
    <w:rsid w:val="19D76F77"/>
    <w:rsid w:val="19DE7440"/>
    <w:rsid w:val="19ED386F"/>
    <w:rsid w:val="19F20ED1"/>
    <w:rsid w:val="19FF1298"/>
    <w:rsid w:val="19FF3821"/>
    <w:rsid w:val="1A03072C"/>
    <w:rsid w:val="1A045B87"/>
    <w:rsid w:val="1A06358A"/>
    <w:rsid w:val="1A210157"/>
    <w:rsid w:val="1A227E2A"/>
    <w:rsid w:val="1A310158"/>
    <w:rsid w:val="1A365F00"/>
    <w:rsid w:val="1A484A02"/>
    <w:rsid w:val="1A4D1CE1"/>
    <w:rsid w:val="1A5760FC"/>
    <w:rsid w:val="1A5B0C0F"/>
    <w:rsid w:val="1A5F7253"/>
    <w:rsid w:val="1A6A0EEA"/>
    <w:rsid w:val="1A6D22C8"/>
    <w:rsid w:val="1A711E38"/>
    <w:rsid w:val="1A725418"/>
    <w:rsid w:val="1A7A0634"/>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2384A"/>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4517A"/>
    <w:rsid w:val="1C793EB9"/>
    <w:rsid w:val="1C807142"/>
    <w:rsid w:val="1C90266F"/>
    <w:rsid w:val="1C941310"/>
    <w:rsid w:val="1C9A166E"/>
    <w:rsid w:val="1C9D1065"/>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06E37"/>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023C0"/>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C403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3FD9"/>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3545C"/>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DC0463"/>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53048"/>
    <w:rsid w:val="219619F8"/>
    <w:rsid w:val="219842E4"/>
    <w:rsid w:val="21997056"/>
    <w:rsid w:val="219B2AEE"/>
    <w:rsid w:val="219D3F2A"/>
    <w:rsid w:val="21AB4F6A"/>
    <w:rsid w:val="21AB77F7"/>
    <w:rsid w:val="21AD30AE"/>
    <w:rsid w:val="21B01EFD"/>
    <w:rsid w:val="21B472C9"/>
    <w:rsid w:val="21B50781"/>
    <w:rsid w:val="21BB41F5"/>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B66D8"/>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C45F8"/>
    <w:rsid w:val="240E5D2B"/>
    <w:rsid w:val="24137B5B"/>
    <w:rsid w:val="24176341"/>
    <w:rsid w:val="24194B93"/>
    <w:rsid w:val="241E1F2D"/>
    <w:rsid w:val="24211333"/>
    <w:rsid w:val="242461D7"/>
    <w:rsid w:val="24255B0A"/>
    <w:rsid w:val="242778EB"/>
    <w:rsid w:val="24292DAA"/>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5F6A28"/>
    <w:rsid w:val="24667266"/>
    <w:rsid w:val="246E676E"/>
    <w:rsid w:val="24731A96"/>
    <w:rsid w:val="24755B99"/>
    <w:rsid w:val="247A5C3A"/>
    <w:rsid w:val="247C5EE2"/>
    <w:rsid w:val="247C7B9E"/>
    <w:rsid w:val="247E1CE1"/>
    <w:rsid w:val="247F6CC6"/>
    <w:rsid w:val="24837A35"/>
    <w:rsid w:val="24851BBB"/>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2448A"/>
    <w:rsid w:val="279408D2"/>
    <w:rsid w:val="279A2ED3"/>
    <w:rsid w:val="27A170DE"/>
    <w:rsid w:val="27A23025"/>
    <w:rsid w:val="27A46397"/>
    <w:rsid w:val="27B02558"/>
    <w:rsid w:val="27B03EC1"/>
    <w:rsid w:val="27B2667F"/>
    <w:rsid w:val="27B91021"/>
    <w:rsid w:val="27C06D17"/>
    <w:rsid w:val="27C66099"/>
    <w:rsid w:val="27CA7CDA"/>
    <w:rsid w:val="27D62FAF"/>
    <w:rsid w:val="27E07021"/>
    <w:rsid w:val="27FE4240"/>
    <w:rsid w:val="280008FF"/>
    <w:rsid w:val="2804331D"/>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0A77"/>
    <w:rsid w:val="28BB2679"/>
    <w:rsid w:val="28BD44AE"/>
    <w:rsid w:val="28C075A4"/>
    <w:rsid w:val="28C77126"/>
    <w:rsid w:val="28CE2A8C"/>
    <w:rsid w:val="28CF7A14"/>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51B3C"/>
    <w:rsid w:val="296865F6"/>
    <w:rsid w:val="296B20A7"/>
    <w:rsid w:val="297D1A8B"/>
    <w:rsid w:val="298431C2"/>
    <w:rsid w:val="299301FE"/>
    <w:rsid w:val="29981CF5"/>
    <w:rsid w:val="299E6180"/>
    <w:rsid w:val="29A4634A"/>
    <w:rsid w:val="29A84DD1"/>
    <w:rsid w:val="29AA2390"/>
    <w:rsid w:val="29B301F6"/>
    <w:rsid w:val="29B85AFC"/>
    <w:rsid w:val="29BB74AF"/>
    <w:rsid w:val="29BC2AA4"/>
    <w:rsid w:val="29C31CA9"/>
    <w:rsid w:val="29CD2270"/>
    <w:rsid w:val="29D03220"/>
    <w:rsid w:val="29D0429A"/>
    <w:rsid w:val="29D22D87"/>
    <w:rsid w:val="29DA58FD"/>
    <w:rsid w:val="29DB020F"/>
    <w:rsid w:val="29DE2380"/>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51408F"/>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00AF"/>
    <w:rsid w:val="2BC941AF"/>
    <w:rsid w:val="2BDC02CD"/>
    <w:rsid w:val="2BE64A3E"/>
    <w:rsid w:val="2BEC4F7F"/>
    <w:rsid w:val="2BF01DD3"/>
    <w:rsid w:val="2BF15487"/>
    <w:rsid w:val="2BF445F5"/>
    <w:rsid w:val="2BF51B27"/>
    <w:rsid w:val="2C027101"/>
    <w:rsid w:val="2C047EF1"/>
    <w:rsid w:val="2C06225C"/>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01D3E"/>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4F222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4E0EC6"/>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87476"/>
    <w:rsid w:val="2F3B7B8B"/>
    <w:rsid w:val="2F44254B"/>
    <w:rsid w:val="2F4530B9"/>
    <w:rsid w:val="2F4776D8"/>
    <w:rsid w:val="2F4B7821"/>
    <w:rsid w:val="2F526911"/>
    <w:rsid w:val="2F5741FD"/>
    <w:rsid w:val="2F57587A"/>
    <w:rsid w:val="2F5E1A24"/>
    <w:rsid w:val="2F615954"/>
    <w:rsid w:val="2F6324D7"/>
    <w:rsid w:val="2F712CF7"/>
    <w:rsid w:val="2F7579C4"/>
    <w:rsid w:val="2F805714"/>
    <w:rsid w:val="2F8640C4"/>
    <w:rsid w:val="2F8E5F5C"/>
    <w:rsid w:val="2F921FAC"/>
    <w:rsid w:val="2F93703C"/>
    <w:rsid w:val="2F9A4BB6"/>
    <w:rsid w:val="2FA21231"/>
    <w:rsid w:val="2FA54FC5"/>
    <w:rsid w:val="2FA77525"/>
    <w:rsid w:val="2FAD4759"/>
    <w:rsid w:val="2FAD5866"/>
    <w:rsid w:val="2FAD5D69"/>
    <w:rsid w:val="2FB91323"/>
    <w:rsid w:val="2FCA0967"/>
    <w:rsid w:val="2FD84674"/>
    <w:rsid w:val="2FDB17E1"/>
    <w:rsid w:val="2FE20568"/>
    <w:rsid w:val="2FE37171"/>
    <w:rsid w:val="2FE91596"/>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86BEB"/>
    <w:rsid w:val="30AE56DC"/>
    <w:rsid w:val="30AF6E4A"/>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23D82"/>
    <w:rsid w:val="31584385"/>
    <w:rsid w:val="315D7DEC"/>
    <w:rsid w:val="31624EDC"/>
    <w:rsid w:val="31647576"/>
    <w:rsid w:val="31665E5D"/>
    <w:rsid w:val="316716FE"/>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05E19"/>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CD2772"/>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9611D"/>
    <w:rsid w:val="353C4905"/>
    <w:rsid w:val="353C75ED"/>
    <w:rsid w:val="353E791E"/>
    <w:rsid w:val="354008AB"/>
    <w:rsid w:val="354966A2"/>
    <w:rsid w:val="354C7B38"/>
    <w:rsid w:val="354F28B8"/>
    <w:rsid w:val="35535CBB"/>
    <w:rsid w:val="35562F9E"/>
    <w:rsid w:val="35581BA8"/>
    <w:rsid w:val="35590C2B"/>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77953"/>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502F1"/>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66AC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77435"/>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02001"/>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8FC69C5"/>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8494F"/>
    <w:rsid w:val="3A1A155D"/>
    <w:rsid w:val="3A237175"/>
    <w:rsid w:val="3A3D09BE"/>
    <w:rsid w:val="3A443D4B"/>
    <w:rsid w:val="3A4B68EC"/>
    <w:rsid w:val="3A5427D3"/>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101"/>
    <w:rsid w:val="3AAC45FD"/>
    <w:rsid w:val="3AB2580E"/>
    <w:rsid w:val="3AB26A14"/>
    <w:rsid w:val="3AB94248"/>
    <w:rsid w:val="3ABE76C3"/>
    <w:rsid w:val="3ABF42F5"/>
    <w:rsid w:val="3ACE7D16"/>
    <w:rsid w:val="3AD73D23"/>
    <w:rsid w:val="3AE82839"/>
    <w:rsid w:val="3AEE596A"/>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167EF"/>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7588D"/>
    <w:rsid w:val="3BE86E03"/>
    <w:rsid w:val="3BF10AAD"/>
    <w:rsid w:val="3BF13FB8"/>
    <w:rsid w:val="3BFA10FC"/>
    <w:rsid w:val="3C032713"/>
    <w:rsid w:val="3C042946"/>
    <w:rsid w:val="3C070D59"/>
    <w:rsid w:val="3C074961"/>
    <w:rsid w:val="3C0C6B1F"/>
    <w:rsid w:val="3C0E09BE"/>
    <w:rsid w:val="3C0F1954"/>
    <w:rsid w:val="3C1071B6"/>
    <w:rsid w:val="3C18685F"/>
    <w:rsid w:val="3C1B3C0D"/>
    <w:rsid w:val="3C1E1E84"/>
    <w:rsid w:val="3C1E391D"/>
    <w:rsid w:val="3C21000D"/>
    <w:rsid w:val="3C237821"/>
    <w:rsid w:val="3C294498"/>
    <w:rsid w:val="3C2A1C6F"/>
    <w:rsid w:val="3C2D5003"/>
    <w:rsid w:val="3C30534F"/>
    <w:rsid w:val="3C333216"/>
    <w:rsid w:val="3C36018F"/>
    <w:rsid w:val="3C3615E1"/>
    <w:rsid w:val="3C3B0B4B"/>
    <w:rsid w:val="3C3C3ACF"/>
    <w:rsid w:val="3C3D016E"/>
    <w:rsid w:val="3C43710C"/>
    <w:rsid w:val="3C4864AA"/>
    <w:rsid w:val="3C49796D"/>
    <w:rsid w:val="3C4F7D80"/>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0972"/>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67B99"/>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8E730C"/>
    <w:rsid w:val="3D9816B4"/>
    <w:rsid w:val="3D990197"/>
    <w:rsid w:val="3D9A0655"/>
    <w:rsid w:val="3DA22306"/>
    <w:rsid w:val="3DA653A7"/>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07B5C"/>
    <w:rsid w:val="3E146F59"/>
    <w:rsid w:val="3E197897"/>
    <w:rsid w:val="3E22755F"/>
    <w:rsid w:val="3E237BCC"/>
    <w:rsid w:val="3E255AC9"/>
    <w:rsid w:val="3E3419DC"/>
    <w:rsid w:val="3E3C5F3C"/>
    <w:rsid w:val="3E3E306A"/>
    <w:rsid w:val="3E3F3EC9"/>
    <w:rsid w:val="3E410DA5"/>
    <w:rsid w:val="3E454B0D"/>
    <w:rsid w:val="3E463CA5"/>
    <w:rsid w:val="3E4B2DC3"/>
    <w:rsid w:val="3E5220CC"/>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2393C"/>
    <w:rsid w:val="3F5361F5"/>
    <w:rsid w:val="3F556D23"/>
    <w:rsid w:val="3F5B09D7"/>
    <w:rsid w:val="3F5D051B"/>
    <w:rsid w:val="3F630E3A"/>
    <w:rsid w:val="3F661FB8"/>
    <w:rsid w:val="3F6B3632"/>
    <w:rsid w:val="3F776E0A"/>
    <w:rsid w:val="3F7F6043"/>
    <w:rsid w:val="3F952814"/>
    <w:rsid w:val="3F9C0821"/>
    <w:rsid w:val="3FA34593"/>
    <w:rsid w:val="3FA41C63"/>
    <w:rsid w:val="3FAB100B"/>
    <w:rsid w:val="3FAB3D87"/>
    <w:rsid w:val="3FAB41A2"/>
    <w:rsid w:val="3FAE47F6"/>
    <w:rsid w:val="3FB03D8B"/>
    <w:rsid w:val="3FB77F5A"/>
    <w:rsid w:val="3FD53CFE"/>
    <w:rsid w:val="3FD9316A"/>
    <w:rsid w:val="3FDA3A66"/>
    <w:rsid w:val="3FE210C1"/>
    <w:rsid w:val="3FE615F2"/>
    <w:rsid w:val="3FEB1C22"/>
    <w:rsid w:val="3FEE2117"/>
    <w:rsid w:val="3FEF73C9"/>
    <w:rsid w:val="3FFA58A6"/>
    <w:rsid w:val="3FFA5C63"/>
    <w:rsid w:val="400659B8"/>
    <w:rsid w:val="40073561"/>
    <w:rsid w:val="400A1CFC"/>
    <w:rsid w:val="4014369D"/>
    <w:rsid w:val="401D6DEE"/>
    <w:rsid w:val="40205563"/>
    <w:rsid w:val="402079EB"/>
    <w:rsid w:val="40294AA1"/>
    <w:rsid w:val="40372C35"/>
    <w:rsid w:val="403870E4"/>
    <w:rsid w:val="40387255"/>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17BF4"/>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D1983"/>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3A63"/>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663BB"/>
    <w:rsid w:val="42E72413"/>
    <w:rsid w:val="42F875D5"/>
    <w:rsid w:val="43052688"/>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A7D6F"/>
    <w:rsid w:val="439C3431"/>
    <w:rsid w:val="439D0E7C"/>
    <w:rsid w:val="43A26A83"/>
    <w:rsid w:val="43A41643"/>
    <w:rsid w:val="43C0281C"/>
    <w:rsid w:val="43C02B26"/>
    <w:rsid w:val="43D10A40"/>
    <w:rsid w:val="43D67A91"/>
    <w:rsid w:val="43E21F58"/>
    <w:rsid w:val="43E35EF0"/>
    <w:rsid w:val="43EB5E76"/>
    <w:rsid w:val="43ED0B9F"/>
    <w:rsid w:val="43F76F69"/>
    <w:rsid w:val="43F85D3C"/>
    <w:rsid w:val="43F90FED"/>
    <w:rsid w:val="43FC0DB2"/>
    <w:rsid w:val="44095B4D"/>
    <w:rsid w:val="440C5D56"/>
    <w:rsid w:val="44153F0C"/>
    <w:rsid w:val="44174583"/>
    <w:rsid w:val="441A5200"/>
    <w:rsid w:val="4425456D"/>
    <w:rsid w:val="44336EAB"/>
    <w:rsid w:val="44393BD3"/>
    <w:rsid w:val="443E43CB"/>
    <w:rsid w:val="444014DC"/>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55EE6"/>
    <w:rsid w:val="44C87C0F"/>
    <w:rsid w:val="44CB4FB3"/>
    <w:rsid w:val="44D31B1E"/>
    <w:rsid w:val="44DF6F1B"/>
    <w:rsid w:val="44E5200E"/>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D2C58"/>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DA7FC9"/>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27F52"/>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A54A5"/>
    <w:rsid w:val="470D53CA"/>
    <w:rsid w:val="471563E1"/>
    <w:rsid w:val="47167C67"/>
    <w:rsid w:val="47220E5E"/>
    <w:rsid w:val="47333B1B"/>
    <w:rsid w:val="47351654"/>
    <w:rsid w:val="473D0BD8"/>
    <w:rsid w:val="47457188"/>
    <w:rsid w:val="47644CFB"/>
    <w:rsid w:val="47666951"/>
    <w:rsid w:val="47683159"/>
    <w:rsid w:val="476A7D07"/>
    <w:rsid w:val="4776289C"/>
    <w:rsid w:val="47901132"/>
    <w:rsid w:val="479766B4"/>
    <w:rsid w:val="479A472B"/>
    <w:rsid w:val="479D7800"/>
    <w:rsid w:val="47A240A4"/>
    <w:rsid w:val="47A60277"/>
    <w:rsid w:val="47AA1593"/>
    <w:rsid w:val="47B44BED"/>
    <w:rsid w:val="47BC3466"/>
    <w:rsid w:val="47C05E0E"/>
    <w:rsid w:val="47C33A8A"/>
    <w:rsid w:val="47D55FC1"/>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6B7D41"/>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712D5"/>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25C7"/>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E7691"/>
    <w:rsid w:val="4AEF0F11"/>
    <w:rsid w:val="4AF902F5"/>
    <w:rsid w:val="4AF94D42"/>
    <w:rsid w:val="4AFA62C9"/>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025A5"/>
    <w:rsid w:val="4B82716C"/>
    <w:rsid w:val="4B857EC6"/>
    <w:rsid w:val="4B872F2E"/>
    <w:rsid w:val="4B8829C1"/>
    <w:rsid w:val="4B8A2918"/>
    <w:rsid w:val="4B8D1D76"/>
    <w:rsid w:val="4B901807"/>
    <w:rsid w:val="4B9B25E4"/>
    <w:rsid w:val="4B9E314D"/>
    <w:rsid w:val="4BAC5F66"/>
    <w:rsid w:val="4BAD4CA2"/>
    <w:rsid w:val="4BB037DE"/>
    <w:rsid w:val="4BC05AFA"/>
    <w:rsid w:val="4BC456EF"/>
    <w:rsid w:val="4BC647B0"/>
    <w:rsid w:val="4BCB1BAE"/>
    <w:rsid w:val="4BD94F2A"/>
    <w:rsid w:val="4BDF3CC4"/>
    <w:rsid w:val="4BDF4B49"/>
    <w:rsid w:val="4BE57E16"/>
    <w:rsid w:val="4BE819D0"/>
    <w:rsid w:val="4BE8649D"/>
    <w:rsid w:val="4BF843EC"/>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0419"/>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C199A"/>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9B784A"/>
    <w:rsid w:val="4DA53BC8"/>
    <w:rsid w:val="4DB37E97"/>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C35AB"/>
    <w:rsid w:val="4E6D1740"/>
    <w:rsid w:val="4E7125DA"/>
    <w:rsid w:val="4E7616FC"/>
    <w:rsid w:val="4E795FE9"/>
    <w:rsid w:val="4E797F06"/>
    <w:rsid w:val="4E8D3751"/>
    <w:rsid w:val="4E8D41BC"/>
    <w:rsid w:val="4E904370"/>
    <w:rsid w:val="4E937763"/>
    <w:rsid w:val="4E973655"/>
    <w:rsid w:val="4E991182"/>
    <w:rsid w:val="4E9E5BA9"/>
    <w:rsid w:val="4E9F5613"/>
    <w:rsid w:val="4EA9172F"/>
    <w:rsid w:val="4EAC241A"/>
    <w:rsid w:val="4EB67945"/>
    <w:rsid w:val="4EBC0C25"/>
    <w:rsid w:val="4ECA2CB3"/>
    <w:rsid w:val="4ED11474"/>
    <w:rsid w:val="4ED32EBD"/>
    <w:rsid w:val="4EE61722"/>
    <w:rsid w:val="4EE86D63"/>
    <w:rsid w:val="4EEC3838"/>
    <w:rsid w:val="4EEE11A3"/>
    <w:rsid w:val="4EF07E6E"/>
    <w:rsid w:val="4EF63696"/>
    <w:rsid w:val="4EFE4EC2"/>
    <w:rsid w:val="4EFF3444"/>
    <w:rsid w:val="4F037BFA"/>
    <w:rsid w:val="4F0441E5"/>
    <w:rsid w:val="4F0D4D4A"/>
    <w:rsid w:val="4F155F27"/>
    <w:rsid w:val="4F181305"/>
    <w:rsid w:val="4F1A238F"/>
    <w:rsid w:val="4F2C365D"/>
    <w:rsid w:val="4F36758C"/>
    <w:rsid w:val="4F376D93"/>
    <w:rsid w:val="4F3D4163"/>
    <w:rsid w:val="4F50208E"/>
    <w:rsid w:val="4F651292"/>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07DF"/>
    <w:rsid w:val="50C65C4E"/>
    <w:rsid w:val="50C65E30"/>
    <w:rsid w:val="50D228CF"/>
    <w:rsid w:val="50E63519"/>
    <w:rsid w:val="50E9032C"/>
    <w:rsid w:val="50EC2A8B"/>
    <w:rsid w:val="50ED76FB"/>
    <w:rsid w:val="50F568D9"/>
    <w:rsid w:val="50FD2A03"/>
    <w:rsid w:val="5101000D"/>
    <w:rsid w:val="51037543"/>
    <w:rsid w:val="510D4A1E"/>
    <w:rsid w:val="51184E6D"/>
    <w:rsid w:val="51187610"/>
    <w:rsid w:val="511A4D7E"/>
    <w:rsid w:val="512B350B"/>
    <w:rsid w:val="51375EB3"/>
    <w:rsid w:val="513853CC"/>
    <w:rsid w:val="51392D77"/>
    <w:rsid w:val="513E4493"/>
    <w:rsid w:val="513F081D"/>
    <w:rsid w:val="514A0F7B"/>
    <w:rsid w:val="514C1E16"/>
    <w:rsid w:val="515361F4"/>
    <w:rsid w:val="515529BB"/>
    <w:rsid w:val="515A64E3"/>
    <w:rsid w:val="515C30A6"/>
    <w:rsid w:val="516157F7"/>
    <w:rsid w:val="5161698E"/>
    <w:rsid w:val="5163574F"/>
    <w:rsid w:val="51793E32"/>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5F6206"/>
    <w:rsid w:val="52612620"/>
    <w:rsid w:val="526478E1"/>
    <w:rsid w:val="526A546C"/>
    <w:rsid w:val="527847C1"/>
    <w:rsid w:val="52790FD9"/>
    <w:rsid w:val="52887A7D"/>
    <w:rsid w:val="52894DE6"/>
    <w:rsid w:val="528C5E23"/>
    <w:rsid w:val="52965280"/>
    <w:rsid w:val="529667DA"/>
    <w:rsid w:val="52993DA6"/>
    <w:rsid w:val="529B5EE8"/>
    <w:rsid w:val="529F0D9B"/>
    <w:rsid w:val="52CA3D8F"/>
    <w:rsid w:val="52CD21D8"/>
    <w:rsid w:val="52CF0A4A"/>
    <w:rsid w:val="52DC66BA"/>
    <w:rsid w:val="52DC7C0E"/>
    <w:rsid w:val="52DD5B35"/>
    <w:rsid w:val="52DE6D3F"/>
    <w:rsid w:val="52DF189C"/>
    <w:rsid w:val="52DF42EC"/>
    <w:rsid w:val="52E427EA"/>
    <w:rsid w:val="52E6310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01D3"/>
    <w:rsid w:val="536F7573"/>
    <w:rsid w:val="5370597D"/>
    <w:rsid w:val="53763151"/>
    <w:rsid w:val="53794E20"/>
    <w:rsid w:val="537A78AC"/>
    <w:rsid w:val="537D3C2F"/>
    <w:rsid w:val="537F08B7"/>
    <w:rsid w:val="538C7861"/>
    <w:rsid w:val="539147D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20243"/>
    <w:rsid w:val="54757648"/>
    <w:rsid w:val="5478695B"/>
    <w:rsid w:val="54860559"/>
    <w:rsid w:val="548810E8"/>
    <w:rsid w:val="54906088"/>
    <w:rsid w:val="54907EF0"/>
    <w:rsid w:val="549438A5"/>
    <w:rsid w:val="54957510"/>
    <w:rsid w:val="549C6534"/>
    <w:rsid w:val="549D5652"/>
    <w:rsid w:val="54A14490"/>
    <w:rsid w:val="54A153FA"/>
    <w:rsid w:val="54A55A38"/>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8E6EA4"/>
    <w:rsid w:val="55906233"/>
    <w:rsid w:val="55910661"/>
    <w:rsid w:val="559537DA"/>
    <w:rsid w:val="559A7344"/>
    <w:rsid w:val="55A578C3"/>
    <w:rsid w:val="55A63100"/>
    <w:rsid w:val="55AA0C0C"/>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EF36CB"/>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33E2E"/>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20D65"/>
    <w:rsid w:val="56DA3EBA"/>
    <w:rsid w:val="56DE40C5"/>
    <w:rsid w:val="56E33383"/>
    <w:rsid w:val="56E46134"/>
    <w:rsid w:val="56E7677D"/>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B4120"/>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47DAB"/>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4E3E4D"/>
    <w:rsid w:val="58563BF0"/>
    <w:rsid w:val="58590DD2"/>
    <w:rsid w:val="5863473D"/>
    <w:rsid w:val="586C2A31"/>
    <w:rsid w:val="586E1447"/>
    <w:rsid w:val="58733BEB"/>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02EDF"/>
    <w:rsid w:val="58C47A68"/>
    <w:rsid w:val="58C6178A"/>
    <w:rsid w:val="58C66C0B"/>
    <w:rsid w:val="58D720A4"/>
    <w:rsid w:val="58DB456A"/>
    <w:rsid w:val="58E909DD"/>
    <w:rsid w:val="58EB1C90"/>
    <w:rsid w:val="58F57D12"/>
    <w:rsid w:val="58F60AFF"/>
    <w:rsid w:val="58FD7109"/>
    <w:rsid w:val="59094784"/>
    <w:rsid w:val="590C40DA"/>
    <w:rsid w:val="590C62BD"/>
    <w:rsid w:val="591A07AD"/>
    <w:rsid w:val="591D7EA3"/>
    <w:rsid w:val="59267EF0"/>
    <w:rsid w:val="59314627"/>
    <w:rsid w:val="59376E4C"/>
    <w:rsid w:val="59412E73"/>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F0514"/>
    <w:rsid w:val="59B6531E"/>
    <w:rsid w:val="59B75E8A"/>
    <w:rsid w:val="59BC0F73"/>
    <w:rsid w:val="59BD2911"/>
    <w:rsid w:val="59BE1CC3"/>
    <w:rsid w:val="59C13A26"/>
    <w:rsid w:val="59C77457"/>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B192D"/>
    <w:rsid w:val="5A8F76C1"/>
    <w:rsid w:val="5A921A04"/>
    <w:rsid w:val="5A94673C"/>
    <w:rsid w:val="5A960AD9"/>
    <w:rsid w:val="5A9A0A66"/>
    <w:rsid w:val="5AA541CF"/>
    <w:rsid w:val="5AAF460D"/>
    <w:rsid w:val="5AAF48E4"/>
    <w:rsid w:val="5AB96041"/>
    <w:rsid w:val="5ABB58AA"/>
    <w:rsid w:val="5ABC4831"/>
    <w:rsid w:val="5ABC6BFA"/>
    <w:rsid w:val="5AC366EB"/>
    <w:rsid w:val="5AC43AE0"/>
    <w:rsid w:val="5AC4427C"/>
    <w:rsid w:val="5AD054B7"/>
    <w:rsid w:val="5AD149C0"/>
    <w:rsid w:val="5AD20D04"/>
    <w:rsid w:val="5AD510F0"/>
    <w:rsid w:val="5ADB4B16"/>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67A5C"/>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3D2DD6"/>
    <w:rsid w:val="5C4B6F2F"/>
    <w:rsid w:val="5C500AF8"/>
    <w:rsid w:val="5C517866"/>
    <w:rsid w:val="5C523483"/>
    <w:rsid w:val="5C5348B4"/>
    <w:rsid w:val="5C5E033F"/>
    <w:rsid w:val="5C6875EE"/>
    <w:rsid w:val="5C6F12DC"/>
    <w:rsid w:val="5C7A2919"/>
    <w:rsid w:val="5C822104"/>
    <w:rsid w:val="5C8A07D2"/>
    <w:rsid w:val="5C9E50D0"/>
    <w:rsid w:val="5C9F7379"/>
    <w:rsid w:val="5CBF4297"/>
    <w:rsid w:val="5CC31B68"/>
    <w:rsid w:val="5CC43404"/>
    <w:rsid w:val="5CC93DAE"/>
    <w:rsid w:val="5CD31EE3"/>
    <w:rsid w:val="5CE1654F"/>
    <w:rsid w:val="5CE47CF9"/>
    <w:rsid w:val="5CE9519B"/>
    <w:rsid w:val="5CEB1D70"/>
    <w:rsid w:val="5CF45558"/>
    <w:rsid w:val="5CF70E19"/>
    <w:rsid w:val="5D00730C"/>
    <w:rsid w:val="5D072BC8"/>
    <w:rsid w:val="5D076525"/>
    <w:rsid w:val="5D0A3A75"/>
    <w:rsid w:val="5D1052BD"/>
    <w:rsid w:val="5D1558AD"/>
    <w:rsid w:val="5D19384D"/>
    <w:rsid w:val="5D22473A"/>
    <w:rsid w:val="5D237B4C"/>
    <w:rsid w:val="5D2B5629"/>
    <w:rsid w:val="5D301CD3"/>
    <w:rsid w:val="5D315CEB"/>
    <w:rsid w:val="5D326462"/>
    <w:rsid w:val="5D3926A3"/>
    <w:rsid w:val="5D3B59DF"/>
    <w:rsid w:val="5D3C5FD8"/>
    <w:rsid w:val="5D3D1B8E"/>
    <w:rsid w:val="5D432F0E"/>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BB6191"/>
    <w:rsid w:val="5DCE472A"/>
    <w:rsid w:val="5DD70750"/>
    <w:rsid w:val="5DE44DF4"/>
    <w:rsid w:val="5DED4540"/>
    <w:rsid w:val="5DFD35FF"/>
    <w:rsid w:val="5DFD4406"/>
    <w:rsid w:val="5E00720B"/>
    <w:rsid w:val="5E012896"/>
    <w:rsid w:val="5E074911"/>
    <w:rsid w:val="5E080467"/>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14D58"/>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D3BCE"/>
    <w:rsid w:val="5EFE064F"/>
    <w:rsid w:val="5F061DE5"/>
    <w:rsid w:val="5F09081F"/>
    <w:rsid w:val="5F1111AD"/>
    <w:rsid w:val="5F115D5D"/>
    <w:rsid w:val="5F121A0D"/>
    <w:rsid w:val="5F1B27DE"/>
    <w:rsid w:val="5F1E5C26"/>
    <w:rsid w:val="5F246C11"/>
    <w:rsid w:val="5F2C64A1"/>
    <w:rsid w:val="5F2F478E"/>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501A"/>
    <w:rsid w:val="5FA71F3B"/>
    <w:rsid w:val="5FAB674F"/>
    <w:rsid w:val="5FAF179F"/>
    <w:rsid w:val="5FB25387"/>
    <w:rsid w:val="5FBF3440"/>
    <w:rsid w:val="5FC53509"/>
    <w:rsid w:val="5FD20829"/>
    <w:rsid w:val="5FEB0680"/>
    <w:rsid w:val="5FF744A9"/>
    <w:rsid w:val="5FF76947"/>
    <w:rsid w:val="5FF90254"/>
    <w:rsid w:val="5FFB17C7"/>
    <w:rsid w:val="5FFE6C22"/>
    <w:rsid w:val="60000309"/>
    <w:rsid w:val="600B6B90"/>
    <w:rsid w:val="600C3224"/>
    <w:rsid w:val="600F5E59"/>
    <w:rsid w:val="600F6605"/>
    <w:rsid w:val="60141B2B"/>
    <w:rsid w:val="60143AD3"/>
    <w:rsid w:val="60281FCD"/>
    <w:rsid w:val="602876AC"/>
    <w:rsid w:val="602C37C6"/>
    <w:rsid w:val="602C5092"/>
    <w:rsid w:val="603215F4"/>
    <w:rsid w:val="603771DA"/>
    <w:rsid w:val="604C5236"/>
    <w:rsid w:val="605006BC"/>
    <w:rsid w:val="606162D0"/>
    <w:rsid w:val="60674769"/>
    <w:rsid w:val="606A05B7"/>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817D6"/>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AA5864"/>
    <w:rsid w:val="61B33DDF"/>
    <w:rsid w:val="61B628DA"/>
    <w:rsid w:val="61BB4A1B"/>
    <w:rsid w:val="61BC23E5"/>
    <w:rsid w:val="61CD3107"/>
    <w:rsid w:val="61D21120"/>
    <w:rsid w:val="61D63A72"/>
    <w:rsid w:val="61E728F9"/>
    <w:rsid w:val="61F3045C"/>
    <w:rsid w:val="61F3667F"/>
    <w:rsid w:val="61F43F82"/>
    <w:rsid w:val="61FB110C"/>
    <w:rsid w:val="62057FDE"/>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EF0A3F"/>
    <w:rsid w:val="62F76986"/>
    <w:rsid w:val="62FA3D7F"/>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63F5F"/>
    <w:rsid w:val="635C3F25"/>
    <w:rsid w:val="635E6984"/>
    <w:rsid w:val="63615D3E"/>
    <w:rsid w:val="6367139B"/>
    <w:rsid w:val="63683422"/>
    <w:rsid w:val="636C62BA"/>
    <w:rsid w:val="63821D61"/>
    <w:rsid w:val="63827E36"/>
    <w:rsid w:val="63842477"/>
    <w:rsid w:val="638823F9"/>
    <w:rsid w:val="638B04D2"/>
    <w:rsid w:val="6395712A"/>
    <w:rsid w:val="639A118D"/>
    <w:rsid w:val="639E75EE"/>
    <w:rsid w:val="63A85CD1"/>
    <w:rsid w:val="63AB2A39"/>
    <w:rsid w:val="63B02C42"/>
    <w:rsid w:val="63B51B9D"/>
    <w:rsid w:val="63C51AD9"/>
    <w:rsid w:val="63C54411"/>
    <w:rsid w:val="63C733FE"/>
    <w:rsid w:val="63CD27C8"/>
    <w:rsid w:val="63CD4C2D"/>
    <w:rsid w:val="63CF2629"/>
    <w:rsid w:val="63D2350F"/>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A5C24"/>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DA0AC7"/>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07B9B"/>
    <w:rsid w:val="653A176B"/>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A7C62"/>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825FDC"/>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53EA6"/>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A0383"/>
    <w:rsid w:val="684D1928"/>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91B6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3F1580"/>
    <w:rsid w:val="69421566"/>
    <w:rsid w:val="69430240"/>
    <w:rsid w:val="694A6D5C"/>
    <w:rsid w:val="6951205B"/>
    <w:rsid w:val="6953741D"/>
    <w:rsid w:val="69552B47"/>
    <w:rsid w:val="6956014F"/>
    <w:rsid w:val="69630690"/>
    <w:rsid w:val="69663A8A"/>
    <w:rsid w:val="696E0FD5"/>
    <w:rsid w:val="696F3842"/>
    <w:rsid w:val="69731101"/>
    <w:rsid w:val="6974083C"/>
    <w:rsid w:val="697B00EB"/>
    <w:rsid w:val="697D087B"/>
    <w:rsid w:val="697D2094"/>
    <w:rsid w:val="69807B1E"/>
    <w:rsid w:val="69A543CE"/>
    <w:rsid w:val="69A71B52"/>
    <w:rsid w:val="69A7770D"/>
    <w:rsid w:val="69A966F8"/>
    <w:rsid w:val="69AC0B64"/>
    <w:rsid w:val="69AD7C8E"/>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2770A"/>
    <w:rsid w:val="6A532FF6"/>
    <w:rsid w:val="6A601C8F"/>
    <w:rsid w:val="6A7174A5"/>
    <w:rsid w:val="6A72508F"/>
    <w:rsid w:val="6A732254"/>
    <w:rsid w:val="6A774894"/>
    <w:rsid w:val="6A80364F"/>
    <w:rsid w:val="6A8C3EFF"/>
    <w:rsid w:val="6A916EED"/>
    <w:rsid w:val="6A9371B0"/>
    <w:rsid w:val="6A937D23"/>
    <w:rsid w:val="6A960003"/>
    <w:rsid w:val="6A9B5915"/>
    <w:rsid w:val="6A9B6E68"/>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831974"/>
    <w:rsid w:val="6C882F2E"/>
    <w:rsid w:val="6C8E4315"/>
    <w:rsid w:val="6C95615F"/>
    <w:rsid w:val="6CA94419"/>
    <w:rsid w:val="6CAD655A"/>
    <w:rsid w:val="6CB242A2"/>
    <w:rsid w:val="6CC52E7F"/>
    <w:rsid w:val="6CC818AD"/>
    <w:rsid w:val="6CD01794"/>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6D31A3"/>
    <w:rsid w:val="6D6E5CF0"/>
    <w:rsid w:val="6D6F30F0"/>
    <w:rsid w:val="6D770FC8"/>
    <w:rsid w:val="6D79761D"/>
    <w:rsid w:val="6D7D5646"/>
    <w:rsid w:val="6D816186"/>
    <w:rsid w:val="6D8F5451"/>
    <w:rsid w:val="6D90338E"/>
    <w:rsid w:val="6D904B49"/>
    <w:rsid w:val="6D925740"/>
    <w:rsid w:val="6D9D3EE4"/>
    <w:rsid w:val="6D9E7C69"/>
    <w:rsid w:val="6DA71839"/>
    <w:rsid w:val="6DA84071"/>
    <w:rsid w:val="6DB20233"/>
    <w:rsid w:val="6DB81D13"/>
    <w:rsid w:val="6DC07171"/>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A0943"/>
    <w:rsid w:val="6E4E0EC4"/>
    <w:rsid w:val="6E561494"/>
    <w:rsid w:val="6E567CD0"/>
    <w:rsid w:val="6E633CB5"/>
    <w:rsid w:val="6E651C83"/>
    <w:rsid w:val="6E7106EF"/>
    <w:rsid w:val="6E72570E"/>
    <w:rsid w:val="6E785A45"/>
    <w:rsid w:val="6E796FC0"/>
    <w:rsid w:val="6E8F6FAF"/>
    <w:rsid w:val="6E917497"/>
    <w:rsid w:val="6E9E5736"/>
    <w:rsid w:val="6EA07DE9"/>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387253"/>
    <w:rsid w:val="6F4876AF"/>
    <w:rsid w:val="6F537FC0"/>
    <w:rsid w:val="6F607895"/>
    <w:rsid w:val="6F61040C"/>
    <w:rsid w:val="6F6776E1"/>
    <w:rsid w:val="6F702CF5"/>
    <w:rsid w:val="6F706E7C"/>
    <w:rsid w:val="6F7A0C79"/>
    <w:rsid w:val="6F7E1B78"/>
    <w:rsid w:val="6F7F2D61"/>
    <w:rsid w:val="6F9C5D71"/>
    <w:rsid w:val="6FA3781E"/>
    <w:rsid w:val="6FA453D5"/>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76220"/>
    <w:rsid w:val="701830B7"/>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016AD"/>
    <w:rsid w:val="72D456A5"/>
    <w:rsid w:val="72E70D52"/>
    <w:rsid w:val="72EA6B66"/>
    <w:rsid w:val="72ED3B32"/>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6305E"/>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085D"/>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4FF0609"/>
    <w:rsid w:val="7502618E"/>
    <w:rsid w:val="750934A8"/>
    <w:rsid w:val="750A15E4"/>
    <w:rsid w:val="750B2F20"/>
    <w:rsid w:val="750C76FA"/>
    <w:rsid w:val="751C6D8A"/>
    <w:rsid w:val="752B3381"/>
    <w:rsid w:val="75325694"/>
    <w:rsid w:val="75376E15"/>
    <w:rsid w:val="75377773"/>
    <w:rsid w:val="753B454F"/>
    <w:rsid w:val="75441B17"/>
    <w:rsid w:val="75457EFF"/>
    <w:rsid w:val="754D33E0"/>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2DD3"/>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215E5"/>
    <w:rsid w:val="76894819"/>
    <w:rsid w:val="768D57E3"/>
    <w:rsid w:val="76932317"/>
    <w:rsid w:val="76A40A69"/>
    <w:rsid w:val="76A53B61"/>
    <w:rsid w:val="76A56898"/>
    <w:rsid w:val="76A652D8"/>
    <w:rsid w:val="76AC087B"/>
    <w:rsid w:val="76AF2AB4"/>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44A91"/>
    <w:rsid w:val="77284F7D"/>
    <w:rsid w:val="7729766A"/>
    <w:rsid w:val="772D35A6"/>
    <w:rsid w:val="772D3786"/>
    <w:rsid w:val="773A62B8"/>
    <w:rsid w:val="773E64A6"/>
    <w:rsid w:val="77422DC5"/>
    <w:rsid w:val="7743723B"/>
    <w:rsid w:val="77490C6C"/>
    <w:rsid w:val="774B3934"/>
    <w:rsid w:val="774B7A86"/>
    <w:rsid w:val="774D47BD"/>
    <w:rsid w:val="775352E9"/>
    <w:rsid w:val="77551F00"/>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016FD"/>
    <w:rsid w:val="784151EC"/>
    <w:rsid w:val="784563AF"/>
    <w:rsid w:val="7849196F"/>
    <w:rsid w:val="784C2B22"/>
    <w:rsid w:val="78517B62"/>
    <w:rsid w:val="78591903"/>
    <w:rsid w:val="786924AC"/>
    <w:rsid w:val="787659AD"/>
    <w:rsid w:val="7888219B"/>
    <w:rsid w:val="78887070"/>
    <w:rsid w:val="788908C8"/>
    <w:rsid w:val="78993306"/>
    <w:rsid w:val="789F3EDD"/>
    <w:rsid w:val="78A561F3"/>
    <w:rsid w:val="78A953B7"/>
    <w:rsid w:val="78AB3452"/>
    <w:rsid w:val="78B0117B"/>
    <w:rsid w:val="78B91C9F"/>
    <w:rsid w:val="78BC539D"/>
    <w:rsid w:val="78BD5434"/>
    <w:rsid w:val="78C134B0"/>
    <w:rsid w:val="78C52CB5"/>
    <w:rsid w:val="78C64CC0"/>
    <w:rsid w:val="78C67D14"/>
    <w:rsid w:val="78CD3535"/>
    <w:rsid w:val="78D6474D"/>
    <w:rsid w:val="78D96291"/>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28148A"/>
    <w:rsid w:val="79350D11"/>
    <w:rsid w:val="79351894"/>
    <w:rsid w:val="7940572D"/>
    <w:rsid w:val="79461391"/>
    <w:rsid w:val="79474814"/>
    <w:rsid w:val="79492AA1"/>
    <w:rsid w:val="794B387C"/>
    <w:rsid w:val="794B4D74"/>
    <w:rsid w:val="79501475"/>
    <w:rsid w:val="79524043"/>
    <w:rsid w:val="795A5499"/>
    <w:rsid w:val="795B23B8"/>
    <w:rsid w:val="795B74A5"/>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2F3F9D"/>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A2315"/>
    <w:rsid w:val="7A9B74B6"/>
    <w:rsid w:val="7A9C3E5C"/>
    <w:rsid w:val="7A9D1CEF"/>
    <w:rsid w:val="7AA16CBD"/>
    <w:rsid w:val="7AA5277A"/>
    <w:rsid w:val="7AA952CF"/>
    <w:rsid w:val="7AAE678B"/>
    <w:rsid w:val="7AB07C78"/>
    <w:rsid w:val="7AB514B2"/>
    <w:rsid w:val="7AC40083"/>
    <w:rsid w:val="7ACA29DF"/>
    <w:rsid w:val="7ACD2D7F"/>
    <w:rsid w:val="7AD02422"/>
    <w:rsid w:val="7AD27B42"/>
    <w:rsid w:val="7AD53EC1"/>
    <w:rsid w:val="7AD84E14"/>
    <w:rsid w:val="7ADB474B"/>
    <w:rsid w:val="7ADB7F1A"/>
    <w:rsid w:val="7ADF7F49"/>
    <w:rsid w:val="7AE11C49"/>
    <w:rsid w:val="7AE55787"/>
    <w:rsid w:val="7AE833BC"/>
    <w:rsid w:val="7AF91DAF"/>
    <w:rsid w:val="7AF9607E"/>
    <w:rsid w:val="7AFD646D"/>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360CB"/>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7B34B3"/>
    <w:rsid w:val="7C815D2A"/>
    <w:rsid w:val="7C831756"/>
    <w:rsid w:val="7C844AA6"/>
    <w:rsid w:val="7C8C4CAB"/>
    <w:rsid w:val="7C982736"/>
    <w:rsid w:val="7C9A2FA3"/>
    <w:rsid w:val="7C9E5A24"/>
    <w:rsid w:val="7CA3583F"/>
    <w:rsid w:val="7CA61736"/>
    <w:rsid w:val="7CA67728"/>
    <w:rsid w:val="7CAC3C57"/>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0399D"/>
    <w:rsid w:val="7E570488"/>
    <w:rsid w:val="7E573082"/>
    <w:rsid w:val="7E593C4C"/>
    <w:rsid w:val="7E696028"/>
    <w:rsid w:val="7E6A00B0"/>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EFD7856"/>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593749"/>
    <w:rsid w:val="7F6339F7"/>
    <w:rsid w:val="7F694065"/>
    <w:rsid w:val="7F711BE4"/>
    <w:rsid w:val="7F74788A"/>
    <w:rsid w:val="7F8660CD"/>
    <w:rsid w:val="7F8A2E2C"/>
    <w:rsid w:val="7F963419"/>
    <w:rsid w:val="7F98528E"/>
    <w:rsid w:val="7FA069EC"/>
    <w:rsid w:val="7FB5561C"/>
    <w:rsid w:val="7FBB6CE2"/>
    <w:rsid w:val="7FD277AE"/>
    <w:rsid w:val="7FD9440F"/>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2023-08-11T12:03:55Z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